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81454" w14:textId="71064606" w:rsidR="003937E8" w:rsidRDefault="003937E8" w:rsidP="003937E8">
      <w:pPr>
        <w:pStyle w:val="Header"/>
        <w:keepLines/>
        <w:tabs>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Start w:id="2" w:name="_Hlk144453057"/>
      <w:bookmarkStart w:id="3" w:name="OLE_LINK5"/>
      <w:bookmarkStart w:id="4" w:name="OLE_LINK6"/>
      <w:bookmarkEnd w:id="0"/>
      <w:bookmarkEnd w:id="1"/>
      <w:r>
        <w:rPr>
          <w:rFonts w:ascii="Arial" w:hAnsi="Arial" w:cs="Arial"/>
          <w:b/>
          <w:sz w:val="24"/>
          <w:szCs w:val="24"/>
        </w:rPr>
        <w:t>3GPP TSG-RAN WG4 Meeting #10</w:t>
      </w:r>
      <w:r w:rsidR="00CC3751">
        <w:rPr>
          <w:rFonts w:ascii="Arial" w:hAnsi="Arial" w:cs="Arial"/>
          <w:b/>
          <w:sz w:val="24"/>
          <w:szCs w:val="24"/>
        </w:rPr>
        <w:t>8</w:t>
      </w:r>
      <w:r w:rsidR="00DB20A0">
        <w:rPr>
          <w:rFonts w:ascii="Arial" w:hAnsi="Arial" w:cs="Arial"/>
          <w:b/>
          <w:sz w:val="24"/>
          <w:szCs w:val="24"/>
        </w:rPr>
        <w:t>bis</w:t>
      </w:r>
      <w:bookmarkEnd w:id="2"/>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B769D" w:rsidRPr="004B769D">
        <w:rPr>
          <w:rFonts w:ascii="Arial" w:hAnsi="Arial" w:cs="Arial"/>
          <w:b/>
          <w:sz w:val="24"/>
          <w:szCs w:val="24"/>
        </w:rPr>
        <w:t>R4-2315931</w:t>
      </w:r>
    </w:p>
    <w:p w14:paraId="5300D95E" w14:textId="21E739DD" w:rsidR="003937E8" w:rsidRDefault="00DB20A0" w:rsidP="003937E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003937E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3937E8">
        <w:rPr>
          <w:rFonts w:ascii="Arial" w:eastAsia="SimSun" w:hAnsi="Arial" w:cs="Arial"/>
          <w:b/>
          <w:sz w:val="24"/>
          <w:szCs w:val="24"/>
          <w:lang w:eastAsia="zh-CN"/>
        </w:rPr>
        <w:t xml:space="preserve">, </w:t>
      </w:r>
      <w:r>
        <w:rPr>
          <w:rFonts w:ascii="Arial" w:eastAsia="SimSun" w:hAnsi="Arial" w:cs="Arial"/>
          <w:b/>
          <w:sz w:val="24"/>
          <w:szCs w:val="24"/>
          <w:lang w:eastAsia="zh-CN"/>
        </w:rPr>
        <w:t>October</w:t>
      </w:r>
      <w:r w:rsidR="003937E8">
        <w:rPr>
          <w:rFonts w:ascii="Arial" w:eastAsia="SimSun" w:hAnsi="Arial" w:cs="Arial"/>
          <w:b/>
          <w:sz w:val="24"/>
          <w:szCs w:val="24"/>
          <w:lang w:eastAsia="zh-CN"/>
        </w:rPr>
        <w:t xml:space="preserve"> </w:t>
      </w:r>
      <w:r>
        <w:rPr>
          <w:rFonts w:ascii="Arial" w:eastAsia="SimSun" w:hAnsi="Arial" w:cs="Arial"/>
          <w:b/>
          <w:sz w:val="24"/>
          <w:szCs w:val="24"/>
          <w:lang w:eastAsia="zh-CN"/>
        </w:rPr>
        <w:t>9-13</w:t>
      </w:r>
      <w:r w:rsidR="003937E8">
        <w:rPr>
          <w:rFonts w:ascii="Arial" w:eastAsia="SimSun" w:hAnsi="Arial" w:cs="Arial"/>
          <w:b/>
          <w:sz w:val="24"/>
          <w:szCs w:val="24"/>
          <w:lang w:eastAsia="zh-CN"/>
        </w:rPr>
        <w:t>, 2023</w:t>
      </w:r>
    </w:p>
    <w:bookmarkEnd w:id="3"/>
    <w:bookmarkEnd w:id="4"/>
    <w:p w14:paraId="05807072" w14:textId="77777777" w:rsidR="00A22B33" w:rsidRPr="00BE3CA8" w:rsidRDefault="00A22B33" w:rsidP="00A22B3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B66887A" w14:textId="77777777" w:rsidR="00A22B33" w:rsidRPr="00BE3CA8" w:rsidRDefault="00A22B33" w:rsidP="00A22B33">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Nokia, Nokia Shanghai Bell</w:t>
      </w:r>
    </w:p>
    <w:p w14:paraId="178E799A" w14:textId="5211E72D" w:rsidR="00A22B33" w:rsidRPr="00BE3CA8" w:rsidRDefault="00A22B33" w:rsidP="00A22B33">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D704EE" w:rsidRPr="00D704EE">
        <w:rPr>
          <w:rFonts w:ascii="Arial" w:eastAsia="Calibri" w:hAnsi="Arial" w:cs="Arial"/>
          <w:b/>
          <w:bCs/>
          <w:sz w:val="24"/>
        </w:rPr>
        <w:t>Discussion on CHO enhancements</w:t>
      </w:r>
    </w:p>
    <w:p w14:paraId="4FDBD526" w14:textId="58B3F106" w:rsidR="00A22B33" w:rsidRPr="00BE3CA8" w:rsidRDefault="00A22B33" w:rsidP="00A22B33">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D704EE" w:rsidRPr="00D704EE">
        <w:rPr>
          <w:rFonts w:ascii="Arial" w:eastAsia="MS Mincho" w:hAnsi="Arial" w:cs="Arial"/>
          <w:b/>
          <w:bCs/>
          <w:sz w:val="24"/>
          <w:szCs w:val="20"/>
        </w:rPr>
        <w:t>5.24.2.4</w:t>
      </w:r>
    </w:p>
    <w:p w14:paraId="3F8CE23B" w14:textId="77777777" w:rsidR="00A22B33" w:rsidRDefault="00A22B33" w:rsidP="00A22B33">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t>Discussion</w:t>
      </w:r>
    </w:p>
    <w:p w14:paraId="1ACFB998" w14:textId="77777777" w:rsidR="00A22B33" w:rsidRPr="00EF698B" w:rsidRDefault="00A22B33" w:rsidP="00A22B33">
      <w:pPr>
        <w:tabs>
          <w:tab w:val="left" w:pos="1985"/>
        </w:tabs>
        <w:rPr>
          <w:rFonts w:ascii="Arial" w:eastAsia="Calibri" w:hAnsi="Arial" w:cs="Arial"/>
          <w:b/>
          <w:bCs/>
          <w:sz w:val="24"/>
        </w:rPr>
      </w:pPr>
    </w:p>
    <w:p w14:paraId="2E0FACA0" w14:textId="72FABB38" w:rsidR="00A22B33" w:rsidRDefault="00A22B33" w:rsidP="00D67259">
      <w:pPr>
        <w:pStyle w:val="RAN4H1"/>
        <w:jc w:val="left"/>
        <w:rPr>
          <w:lang w:val="en-US"/>
        </w:rPr>
      </w:pPr>
      <w:bookmarkStart w:id="5" w:name="_Toc116995841"/>
      <w:r w:rsidRPr="00EF698B">
        <w:rPr>
          <w:lang w:val="en-US"/>
        </w:rPr>
        <w:t>Intro</w:t>
      </w:r>
      <w:r w:rsidRPr="00EF698B">
        <w:rPr>
          <w:rStyle w:val="RAN4H1Char"/>
          <w:lang w:val="en-US"/>
        </w:rPr>
        <w:t>ductio</w:t>
      </w:r>
      <w:r w:rsidRPr="00EF698B">
        <w:rPr>
          <w:lang w:val="en-US"/>
        </w:rPr>
        <w:t>n</w:t>
      </w:r>
      <w:bookmarkEnd w:id="5"/>
    </w:p>
    <w:p w14:paraId="34B0C1C4" w14:textId="450E2C0A" w:rsidR="00DB20A0" w:rsidRDefault="00DB20A0" w:rsidP="00D67259">
      <w:pPr>
        <w:jc w:val="left"/>
      </w:pPr>
      <w:r>
        <w:t xml:space="preserve">Four CRs were agreed in the RAN4#108 meeting to capture the agreements </w:t>
      </w:r>
      <w:r w:rsidR="00AA5058">
        <w:t xml:space="preserve">regarding </w:t>
      </w:r>
      <w:r>
        <w:t>conditional handover enhancements for Objective 3 and Objective 4 of the Further mobility enhancements work item</w:t>
      </w:r>
      <w:r w:rsidR="00AA5058">
        <w:t xml:space="preserve"> </w:t>
      </w:r>
      <w:r w:rsidR="00AA5058">
        <w:fldChar w:fldCharType="begin"/>
      </w:r>
      <w:r w:rsidR="00AA5058">
        <w:instrText xml:space="preserve"> REF _Ref144453148 \r \h </w:instrText>
      </w:r>
      <w:r w:rsidR="00D67259">
        <w:instrText xml:space="preserve"> \* MERGEFORMAT </w:instrText>
      </w:r>
      <w:r w:rsidR="00AA5058">
        <w:fldChar w:fldCharType="separate"/>
      </w:r>
      <w:r w:rsidR="00AA5058">
        <w:t>[1]</w:t>
      </w:r>
      <w:r w:rsidR="00AA5058">
        <w:fldChar w:fldCharType="end"/>
      </w:r>
      <w:r w:rsidR="00AA5058">
        <w:fldChar w:fldCharType="begin"/>
      </w:r>
      <w:r w:rsidR="00AA5058">
        <w:instrText xml:space="preserve"> REF _Ref144453149 \r \h </w:instrText>
      </w:r>
      <w:r w:rsidR="00D67259">
        <w:instrText xml:space="preserve"> \* MERGEFORMAT </w:instrText>
      </w:r>
      <w:r w:rsidR="00AA5058">
        <w:fldChar w:fldCharType="separate"/>
      </w:r>
      <w:r w:rsidR="00AA5058">
        <w:t>[2]</w:t>
      </w:r>
      <w:r w:rsidR="00AA5058">
        <w:fldChar w:fldCharType="end"/>
      </w:r>
      <w:r w:rsidR="00AA5058">
        <w:fldChar w:fldCharType="begin"/>
      </w:r>
      <w:r w:rsidR="00AA5058">
        <w:instrText xml:space="preserve"> REF _Ref144453150 \r \h </w:instrText>
      </w:r>
      <w:r w:rsidR="00D67259">
        <w:instrText xml:space="preserve"> \* MERGEFORMAT </w:instrText>
      </w:r>
      <w:r w:rsidR="00AA5058">
        <w:fldChar w:fldCharType="separate"/>
      </w:r>
      <w:r w:rsidR="00AA5058">
        <w:t>[3]</w:t>
      </w:r>
      <w:r w:rsidR="00AA5058">
        <w:fldChar w:fldCharType="end"/>
      </w:r>
      <w:r w:rsidR="00AA5058">
        <w:fldChar w:fldCharType="begin"/>
      </w:r>
      <w:r w:rsidR="00AA5058">
        <w:instrText xml:space="preserve"> REF _Ref144453152 \r \h </w:instrText>
      </w:r>
      <w:r w:rsidR="00D67259">
        <w:instrText xml:space="preserve"> \* MERGEFORMAT </w:instrText>
      </w:r>
      <w:r w:rsidR="00AA5058">
        <w:fldChar w:fldCharType="separate"/>
      </w:r>
      <w:r w:rsidR="00AA5058">
        <w:t>[4]</w:t>
      </w:r>
      <w:r w:rsidR="00AA5058">
        <w:fldChar w:fldCharType="end"/>
      </w:r>
      <w:r>
        <w:t xml:space="preserve">. </w:t>
      </w:r>
      <w:r w:rsidR="00AA5058">
        <w:t xml:space="preserve">Furthermore, the latest RAN4 agreements were captured in the way forward for Part 2 of the WI in </w:t>
      </w:r>
      <w:r w:rsidR="00AA5058">
        <w:fldChar w:fldCharType="begin"/>
      </w:r>
      <w:r w:rsidR="00AA5058">
        <w:instrText xml:space="preserve"> REF _Ref144453206 \r \h </w:instrText>
      </w:r>
      <w:r w:rsidR="00D67259">
        <w:instrText xml:space="preserve"> \* MERGEFORMAT </w:instrText>
      </w:r>
      <w:r w:rsidR="00AA5058">
        <w:fldChar w:fldCharType="separate"/>
      </w:r>
      <w:r w:rsidR="00AA5058">
        <w:t>[5]</w:t>
      </w:r>
      <w:r w:rsidR="00AA5058">
        <w:fldChar w:fldCharType="end"/>
      </w:r>
      <w:r w:rsidR="00AA5058">
        <w:t>. No issues were left open in the way forward, but the CRs for Objective 4 (CHO with CPC) have some parts that were left in square brackets. Moreover, the CRs for Objective 4 only capture the case when the UE is not provided with complementary CHO-only configuration. In this contribution, we discuss some of the issues in square brackets as well as how to capture the requirements for the case when the UE is provided with complementary CHO-only configuration.</w:t>
      </w:r>
    </w:p>
    <w:p w14:paraId="042B46DA" w14:textId="14A58D50" w:rsidR="00CC3751" w:rsidRDefault="00CC3751" w:rsidP="00D67259">
      <w:pPr>
        <w:pStyle w:val="RAN4H1"/>
        <w:jc w:val="left"/>
      </w:pPr>
      <w:bookmarkStart w:id="6" w:name="_Toc116995848"/>
      <w:r>
        <w:t xml:space="preserve">Objective 4 – CHO with </w:t>
      </w:r>
      <w:r w:rsidR="00AA5058">
        <w:t>CPC</w:t>
      </w:r>
    </w:p>
    <w:p w14:paraId="2FB98878" w14:textId="2AC58F66" w:rsidR="00AA5058" w:rsidRDefault="00AA5058" w:rsidP="00D67259">
      <w:pPr>
        <w:pStyle w:val="RAN4H2"/>
        <w:jc w:val="left"/>
        <w:rPr>
          <w:lang w:val="en-GB"/>
        </w:rPr>
      </w:pPr>
      <w:r>
        <w:rPr>
          <w:lang w:val="en-GB"/>
        </w:rPr>
        <w:t>CHO with CPC</w:t>
      </w:r>
      <w:r w:rsidR="006B6FB5">
        <w:rPr>
          <w:lang w:val="en-GB"/>
        </w:rPr>
        <w:t xml:space="preserve"> configuration</w:t>
      </w:r>
      <w:r>
        <w:rPr>
          <w:lang w:val="en-GB"/>
        </w:rPr>
        <w:t xml:space="preserve"> </w:t>
      </w:r>
      <w:r w:rsidR="006B6FB5">
        <w:rPr>
          <w:lang w:val="en-GB"/>
        </w:rPr>
        <w:t>when</w:t>
      </w:r>
      <w:r w:rsidR="002E0FC0">
        <w:rPr>
          <w:lang w:val="en-GB"/>
        </w:rPr>
        <w:t xml:space="preserve"> CHO-only configuration</w:t>
      </w:r>
      <w:r w:rsidR="006B6FB5">
        <w:rPr>
          <w:lang w:val="en-GB"/>
        </w:rPr>
        <w:t xml:space="preserve"> is present</w:t>
      </w:r>
    </w:p>
    <w:p w14:paraId="59E4E148" w14:textId="0A573F1B" w:rsidR="00AA5058" w:rsidRDefault="00AA5058" w:rsidP="00D67259">
      <w:pPr>
        <w:jc w:val="left"/>
        <w:rPr>
          <w:lang w:val="en-GB"/>
        </w:rPr>
      </w:pPr>
      <w:r>
        <w:rPr>
          <w:lang w:val="en-GB"/>
        </w:rPr>
        <w:t>The following delay</w:t>
      </w:r>
      <w:r w:rsidR="00C9112C">
        <w:rPr>
          <w:lang w:val="en-GB"/>
        </w:rPr>
        <w:t>s</w:t>
      </w:r>
      <w:r>
        <w:rPr>
          <w:lang w:val="en-GB"/>
        </w:rPr>
        <w:t xml:space="preserve"> </w:t>
      </w:r>
      <w:r w:rsidR="008B50BA">
        <w:rPr>
          <w:lang w:val="en-GB"/>
        </w:rPr>
        <w:t>for CHO+CP</w:t>
      </w:r>
      <w:r w:rsidR="0094351D">
        <w:rPr>
          <w:lang w:val="en-GB"/>
        </w:rPr>
        <w:t xml:space="preserve">C </w:t>
      </w:r>
      <w:r>
        <w:rPr>
          <w:lang w:val="en-GB"/>
        </w:rPr>
        <w:t>w</w:t>
      </w:r>
      <w:r w:rsidR="00C9112C">
        <w:rPr>
          <w:lang w:val="en-GB"/>
        </w:rPr>
        <w:t>ere</w:t>
      </w:r>
      <w:r>
        <w:rPr>
          <w:lang w:val="en-GB"/>
        </w:rPr>
        <w:t xml:space="preserve"> agreed </w:t>
      </w:r>
      <w:r w:rsidR="00C9112C">
        <w:rPr>
          <w:lang w:val="en-GB"/>
        </w:rPr>
        <w:t xml:space="preserve">in square brackets </w:t>
      </w:r>
      <w:r>
        <w:rPr>
          <w:lang w:val="en-GB"/>
        </w:rPr>
        <w:t xml:space="preserve">for PCell and PSCell when the UE is </w:t>
      </w:r>
      <w:r w:rsidRPr="00C9112C">
        <w:rPr>
          <w:i/>
          <w:iCs/>
          <w:lang w:val="en-GB"/>
        </w:rPr>
        <w:t>not</w:t>
      </w:r>
      <w:r>
        <w:rPr>
          <w:lang w:val="en-GB"/>
        </w:rPr>
        <w:t xml:space="preserve"> provided with complementary CHO-only configuration:</w:t>
      </w:r>
    </w:p>
    <w:p w14:paraId="5EF07350" w14:textId="77777777" w:rsidR="00AA5058" w:rsidRDefault="00AA5058" w:rsidP="00D67259">
      <w:pPr>
        <w:ind w:left="720"/>
        <w:jc w:val="left"/>
      </w:pPr>
      <w:bookmarkStart w:id="7" w:name="_Hlk142577978"/>
      <w:bookmarkEnd w:id="6"/>
      <w:r>
        <w:rPr>
          <w:rFonts w:hint="eastAsia"/>
          <w:lang w:eastAsia="zh-CN"/>
        </w:rPr>
        <w:t>[</w:t>
      </w:r>
      <w:r w:rsidRPr="004B7FD1">
        <w:rPr>
          <w:lang w:eastAsia="zh-CN"/>
        </w:rPr>
        <w:t>D</w:t>
      </w:r>
      <w:r w:rsidRPr="004B7FD1">
        <w:rPr>
          <w:vertAlign w:val="subscript"/>
          <w:lang w:eastAsia="zh-CN"/>
        </w:rPr>
        <w:t>CHOwithCPC</w:t>
      </w:r>
      <w:r w:rsidRPr="004B7FD1">
        <w:rPr>
          <w:rFonts w:eastAsiaTheme="minorEastAsia"/>
          <w:vertAlign w:val="subscript"/>
          <w:lang w:eastAsia="zh-CN"/>
        </w:rPr>
        <w:t>_PCell</w:t>
      </w:r>
      <w:r w:rsidRPr="004B7FD1">
        <w:rPr>
          <w:lang w:eastAsia="zh-CN"/>
        </w:rPr>
        <w:t xml:space="preserve"> = </w:t>
      </w:r>
      <w:r>
        <w:t>T</w:t>
      </w:r>
      <w:r>
        <w:rPr>
          <w:vertAlign w:val="subscript"/>
        </w:rPr>
        <w:t>RRC_delay</w:t>
      </w:r>
      <w:r w:rsidRPr="004B7FD1">
        <w:rPr>
          <w:lang w:eastAsia="zh-CN"/>
        </w:rPr>
        <w:t xml:space="preserve"> + </w:t>
      </w:r>
      <w:r w:rsidRPr="004B7FD1">
        <w:rPr>
          <w:iCs/>
        </w:rPr>
        <w:t>T</w:t>
      </w:r>
      <w:r w:rsidRPr="004B7FD1">
        <w:rPr>
          <w:iCs/>
          <w:vertAlign w:val="subscript"/>
        </w:rPr>
        <w:t>Event_DU</w:t>
      </w:r>
      <w:r w:rsidRPr="004B7FD1">
        <w:rPr>
          <w:iCs/>
        </w:rPr>
        <w:t xml:space="preserve"> +</w:t>
      </w:r>
      <w:r w:rsidRPr="004B7FD1">
        <w:t>max (</w:t>
      </w:r>
      <w:r w:rsidRPr="004B7FD1">
        <w:rPr>
          <w:lang w:eastAsia="zh-CN"/>
        </w:rPr>
        <w:t>T</w:t>
      </w:r>
      <w:r w:rsidRPr="004B7FD1">
        <w:rPr>
          <w:vertAlign w:val="subscript"/>
          <w:lang w:eastAsia="zh-CN"/>
        </w:rPr>
        <w:t>measure</w:t>
      </w:r>
      <w:r w:rsidRPr="004B7FD1">
        <w:rPr>
          <w:rFonts w:eastAsiaTheme="minorEastAsia"/>
          <w:vertAlign w:val="subscript"/>
          <w:lang w:eastAsia="zh-CN"/>
        </w:rPr>
        <w:t>_PCell</w:t>
      </w:r>
      <w:r w:rsidRPr="004B7FD1">
        <w:t>, T</w:t>
      </w:r>
      <w:r w:rsidRPr="004B7FD1">
        <w:rPr>
          <w:vertAlign w:val="subscript"/>
        </w:rPr>
        <w:t>measure</w:t>
      </w:r>
      <w:r w:rsidRPr="004B7FD1">
        <w:rPr>
          <w:rFonts w:eastAsiaTheme="minorEastAsia"/>
          <w:vertAlign w:val="subscript"/>
          <w:lang w:eastAsia="zh-CN"/>
        </w:rPr>
        <w:t>_PSCell</w:t>
      </w:r>
      <w:r w:rsidRPr="004B7FD1">
        <w:t>)</w:t>
      </w:r>
      <w:r w:rsidRPr="004B7FD1">
        <w:rPr>
          <w:lang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_PCell</w:t>
      </w:r>
      <w:r>
        <w:t xml:space="preserve"> + T</w:t>
      </w:r>
      <w:r>
        <w:rPr>
          <w:vertAlign w:val="subscript"/>
        </w:rPr>
        <w:t>PCell_ DU</w:t>
      </w:r>
      <w:r>
        <w:t xml:space="preserve"> + 2 ms</w:t>
      </w:r>
      <w:bookmarkEnd w:id="7"/>
      <w:r>
        <w:t>]</w:t>
      </w:r>
    </w:p>
    <w:p w14:paraId="3AFFE18F" w14:textId="057CF2CF" w:rsidR="00AA5058" w:rsidRDefault="00AA5058" w:rsidP="00D67259">
      <w:pPr>
        <w:ind w:left="720"/>
        <w:jc w:val="left"/>
      </w:pPr>
      <w:r>
        <w:rPr>
          <w:lang w:eastAsia="zh-CN"/>
        </w:rPr>
        <w:t>[</w:t>
      </w:r>
      <w:r w:rsidRPr="004B7FD1">
        <w:rPr>
          <w:lang w:eastAsia="zh-CN"/>
        </w:rPr>
        <w:t>D</w:t>
      </w:r>
      <w:r w:rsidRPr="004B7FD1">
        <w:rPr>
          <w:vertAlign w:val="subscript"/>
          <w:lang w:eastAsia="zh-CN"/>
        </w:rPr>
        <w:t>CHOwithCPC</w:t>
      </w:r>
      <w:r w:rsidRPr="004B7FD1">
        <w:rPr>
          <w:rFonts w:eastAsiaTheme="minorEastAsia"/>
          <w:vertAlign w:val="subscript"/>
          <w:lang w:eastAsia="zh-CN"/>
        </w:rPr>
        <w:t>_P</w:t>
      </w:r>
      <w:r>
        <w:rPr>
          <w:rFonts w:eastAsiaTheme="minorEastAsia"/>
          <w:vertAlign w:val="subscript"/>
          <w:lang w:eastAsia="zh-CN"/>
        </w:rPr>
        <w:t>S</w:t>
      </w:r>
      <w:r w:rsidRPr="004B7FD1">
        <w:rPr>
          <w:rFonts w:eastAsiaTheme="minorEastAsia"/>
          <w:vertAlign w:val="subscript"/>
          <w:lang w:eastAsia="zh-CN"/>
        </w:rPr>
        <w:t>Cell</w:t>
      </w:r>
      <w:r w:rsidRPr="004B7FD1">
        <w:rPr>
          <w:lang w:eastAsia="zh-CN"/>
        </w:rPr>
        <w:t xml:space="preserve"> = </w:t>
      </w:r>
      <w:r>
        <w:t>T</w:t>
      </w:r>
      <w:r>
        <w:rPr>
          <w:vertAlign w:val="subscript"/>
        </w:rPr>
        <w:t>RRC_delay</w:t>
      </w:r>
      <w:r w:rsidRPr="004B7FD1">
        <w:rPr>
          <w:lang w:eastAsia="zh-CN"/>
        </w:rPr>
        <w:t xml:space="preserve"> +</w:t>
      </w:r>
      <w:r w:rsidRPr="00231300">
        <w:rPr>
          <w:iCs/>
        </w:rPr>
        <w:t xml:space="preserve"> </w:t>
      </w:r>
      <w:r w:rsidRPr="004B7FD1">
        <w:rPr>
          <w:iCs/>
        </w:rPr>
        <w:t>T</w:t>
      </w:r>
      <w:r w:rsidRPr="004B7FD1">
        <w:rPr>
          <w:iCs/>
          <w:vertAlign w:val="subscript"/>
        </w:rPr>
        <w:t>Event_DU</w:t>
      </w:r>
      <w:r w:rsidRPr="004B7FD1">
        <w:rPr>
          <w:iCs/>
        </w:rPr>
        <w:t xml:space="preserve"> +</w:t>
      </w:r>
      <w:r w:rsidRPr="004B7FD1">
        <w:rPr>
          <w:lang w:eastAsia="zh-CN"/>
        </w:rPr>
        <w:t xml:space="preserve"> </w:t>
      </w:r>
      <w:r w:rsidRPr="004B7FD1">
        <w:t>max (</w:t>
      </w:r>
      <w:r w:rsidRPr="004B7FD1">
        <w:rPr>
          <w:lang w:eastAsia="zh-CN"/>
        </w:rPr>
        <w:t>T</w:t>
      </w:r>
      <w:r w:rsidRPr="004B7FD1">
        <w:rPr>
          <w:vertAlign w:val="subscript"/>
          <w:lang w:eastAsia="zh-CN"/>
        </w:rPr>
        <w:t>measure</w:t>
      </w:r>
      <w:r w:rsidRPr="004B7FD1">
        <w:rPr>
          <w:rFonts w:eastAsiaTheme="minorEastAsia"/>
          <w:vertAlign w:val="subscript"/>
          <w:lang w:eastAsia="zh-CN"/>
        </w:rPr>
        <w:t>_PCell</w:t>
      </w:r>
      <w:r w:rsidRPr="004B7FD1">
        <w:t>, T</w:t>
      </w:r>
      <w:r w:rsidRPr="004B7FD1">
        <w:rPr>
          <w:vertAlign w:val="subscript"/>
        </w:rPr>
        <w:t>measure</w:t>
      </w:r>
      <w:r w:rsidRPr="004B7FD1">
        <w:rPr>
          <w:rFonts w:eastAsiaTheme="minorEastAsia"/>
          <w:vertAlign w:val="subscript"/>
          <w:lang w:eastAsia="zh-CN"/>
        </w:rPr>
        <w:t>_PSCell</w:t>
      </w:r>
      <w:r w:rsidRPr="004B7FD1">
        <w:t>)</w:t>
      </w:r>
      <w:r w:rsidRPr="004B7FD1">
        <w:rPr>
          <w:lang w:eastAsia="zh-CN"/>
        </w:rPr>
        <w:t xml:space="preserve"> + </w:t>
      </w:r>
      <w:r>
        <w:t>T</w:t>
      </w:r>
      <w:r>
        <w:rPr>
          <w:vertAlign w:val="subscript"/>
        </w:rPr>
        <w:t>UE_preparation</w:t>
      </w:r>
      <w:r>
        <w:t xml:space="preserve"> + T</w:t>
      </w:r>
      <w:r>
        <w:rPr>
          <w:vertAlign w:val="subscript"/>
        </w:rPr>
        <w:t>processing</w:t>
      </w:r>
      <w:r>
        <w:t xml:space="preserve"> + T</w:t>
      </w:r>
      <w:r>
        <w:rPr>
          <w:vertAlign w:val="subscript"/>
        </w:rPr>
        <w:t>∆</w:t>
      </w:r>
      <w:r>
        <w:rPr>
          <w:vertAlign w:val="subscript"/>
          <w:lang w:eastAsia="zh-CN"/>
        </w:rPr>
        <w:t>_PSCell</w:t>
      </w:r>
      <w:r>
        <w:t xml:space="preserve"> + T</w:t>
      </w:r>
      <w:r>
        <w:rPr>
          <w:vertAlign w:val="subscript"/>
        </w:rPr>
        <w:t>PSCell_ DU</w:t>
      </w:r>
      <w:r>
        <w:t xml:space="preserve"> + 2 ms]</w:t>
      </w:r>
    </w:p>
    <w:p w14:paraId="63B22C11" w14:textId="2E721079" w:rsidR="00C9112C" w:rsidRDefault="00C9112C" w:rsidP="00D67259">
      <w:pPr>
        <w:jc w:val="left"/>
      </w:pPr>
      <w:r>
        <w:t xml:space="preserve">Furthermore, the CR captures </w:t>
      </w:r>
      <w:r w:rsidR="0094351D">
        <w:t xml:space="preserve">in square brackets </w:t>
      </w:r>
      <w:r>
        <w:t>the case when the UE is provided with CHO-only configuration and CHO condition is met before the CPC condition.</w:t>
      </w:r>
    </w:p>
    <w:p w14:paraId="4C38F26B" w14:textId="77777777" w:rsidR="00C9112C" w:rsidRDefault="00C9112C" w:rsidP="00D67259">
      <w:pPr>
        <w:pStyle w:val="B1"/>
        <w:ind w:left="720" w:firstLine="0"/>
      </w:pPr>
      <w:r>
        <w:rPr>
          <w:lang w:val="en-US" w:eastAsia="zh-CN"/>
        </w:rPr>
        <w:t>[</w:t>
      </w:r>
      <w:r>
        <w:rPr>
          <w:lang w:val="en-US"/>
        </w:rPr>
        <w:t>When the UE is additionally provided [a complementary CHO-only configuration] and a condition for CHO is met before the CPC condition, the UE executes CHO without CPC and the delay requirements for CHO defined in section 6.1.4 apply.]</w:t>
      </w:r>
    </w:p>
    <w:p w14:paraId="3BBC91FA" w14:textId="211DC4B4" w:rsidR="00C9112C" w:rsidRDefault="0094351D" w:rsidP="00D67259">
      <w:pPr>
        <w:jc w:val="left"/>
      </w:pPr>
      <w:r>
        <w:t xml:space="preserve">While the equations as agreed above </w:t>
      </w:r>
      <w:r w:rsidR="001F7292">
        <w:t xml:space="preserve">apply for the case when the network has not provided CHO-only configuration to the UE, they are not completely accurate for the case when the UE is provided with </w:t>
      </w:r>
      <w:r w:rsidR="00994910">
        <w:t xml:space="preserve">complementary </w:t>
      </w:r>
      <w:r w:rsidR="001F7292">
        <w:t>CHO-only configuration.</w:t>
      </w:r>
    </w:p>
    <w:p w14:paraId="063105FC" w14:textId="3D302B38" w:rsidR="001F7292" w:rsidRDefault="001F7292" w:rsidP="00D67259">
      <w:pPr>
        <w:jc w:val="left"/>
      </w:pPr>
      <w:r>
        <w:t xml:space="preserve">What is different when the UE is configured with CHO-only configuration according to RAN2 agreements is that if the CHO condition is fulfilled for PCell, the UE does not wait for CPC condition to be fulfilled for PSCell, but directly proceeds with CHO without CPC. Therefore, the max-function for </w:t>
      </w:r>
      <w:r w:rsidR="00E843EE">
        <w:t>T</w:t>
      </w:r>
      <w:r w:rsidR="00E843EE" w:rsidRPr="00E843EE">
        <w:rPr>
          <w:vertAlign w:val="subscript"/>
        </w:rPr>
        <w:t>measure</w:t>
      </w:r>
      <w:r>
        <w:t xml:space="preserve"> does not apply for this case, b</w:t>
      </w:r>
      <w:r w:rsidR="00994910">
        <w:t>ecause</w:t>
      </w:r>
      <w:r>
        <w:t xml:space="preserve"> the duration of </w:t>
      </w:r>
      <w:r w:rsidR="00E843EE">
        <w:t>T</w:t>
      </w:r>
      <w:r w:rsidR="00E843EE" w:rsidRPr="00E843EE">
        <w:rPr>
          <w:vertAlign w:val="subscript"/>
        </w:rPr>
        <w:t>measure</w:t>
      </w:r>
      <w:r>
        <w:t xml:space="preserve"> always equals the duration of </w:t>
      </w:r>
      <w:r w:rsidR="00E843EE">
        <w:t>T</w:t>
      </w:r>
      <w:r w:rsidR="00E843EE" w:rsidRPr="00E843EE">
        <w:rPr>
          <w:vertAlign w:val="subscript"/>
        </w:rPr>
        <w:t>measure</w:t>
      </w:r>
      <w:r w:rsidR="00E843EE">
        <w:rPr>
          <w:vertAlign w:val="subscript"/>
        </w:rPr>
        <w:t>_PCell</w:t>
      </w:r>
      <w:r>
        <w:t xml:space="preserve">, </w:t>
      </w:r>
      <w:r w:rsidR="00994910">
        <w:t xml:space="preserve">which is </w:t>
      </w:r>
      <w:r>
        <w:t>because the handover execution starts when the CHO condition is met independent of whether the CPC condition is met or not. Depending on whether CPC condition is met when the CHO condition is met, the UE then proceeds either with CHO or CPC.</w:t>
      </w:r>
      <w:r w:rsidR="00FA1C9A">
        <w:t xml:space="preserve"> When the UE proceeds with CHO, it was agreed that the delay requirement for legacy CHO requirements apply.</w:t>
      </w:r>
    </w:p>
    <w:p w14:paraId="7DF436A2" w14:textId="56FB7FE7" w:rsidR="00E843EE" w:rsidRDefault="00E843EE" w:rsidP="00D67259">
      <w:pPr>
        <w:pStyle w:val="RAN4observation0"/>
        <w:jc w:val="left"/>
      </w:pPr>
      <w:r>
        <w:lastRenderedPageBreak/>
        <w:t>The max function for</w:t>
      </w:r>
      <w:r w:rsidR="00FA1C9A">
        <w:t xml:space="preserve"> agreed for</w:t>
      </w:r>
      <w:r>
        <w:t xml:space="preserve"> T</w:t>
      </w:r>
      <w:r w:rsidRPr="00E843EE">
        <w:rPr>
          <w:vertAlign w:val="subscript"/>
        </w:rPr>
        <w:t>measure</w:t>
      </w:r>
      <w:r w:rsidR="00FA1C9A">
        <w:t xml:space="preserve"> when CHO-only configuration is not met, </w:t>
      </w:r>
      <w:r w:rsidRPr="004B7FD1">
        <w:t>max (</w:t>
      </w:r>
      <w:r w:rsidRPr="004B7FD1">
        <w:rPr>
          <w:lang w:eastAsia="zh-CN"/>
        </w:rPr>
        <w:t>T</w:t>
      </w:r>
      <w:r w:rsidRPr="004B7FD1">
        <w:rPr>
          <w:vertAlign w:val="subscript"/>
          <w:lang w:eastAsia="zh-CN"/>
        </w:rPr>
        <w:t>measure</w:t>
      </w:r>
      <w:r w:rsidRPr="004B7FD1">
        <w:rPr>
          <w:rFonts w:eastAsiaTheme="minorEastAsia"/>
          <w:vertAlign w:val="subscript"/>
          <w:lang w:eastAsia="zh-CN"/>
        </w:rPr>
        <w:t>_PCell</w:t>
      </w:r>
      <w:r w:rsidRPr="004B7FD1">
        <w:t>, T</w:t>
      </w:r>
      <w:r w:rsidRPr="004B7FD1">
        <w:rPr>
          <w:vertAlign w:val="subscript"/>
        </w:rPr>
        <w:t>measure</w:t>
      </w:r>
      <w:r w:rsidRPr="004B7FD1">
        <w:rPr>
          <w:rFonts w:eastAsiaTheme="minorEastAsia"/>
          <w:vertAlign w:val="subscript"/>
          <w:lang w:eastAsia="zh-CN"/>
        </w:rPr>
        <w:t>_PSCell</w:t>
      </w:r>
      <w:r w:rsidRPr="004B7FD1">
        <w:t>)</w:t>
      </w:r>
      <w:r>
        <w:t>, does not apply for the case when the UE is provided with CHO-only configuration.</w:t>
      </w:r>
    </w:p>
    <w:p w14:paraId="1BEBEDFF" w14:textId="472B51DF" w:rsidR="00E843EE" w:rsidRDefault="00563357" w:rsidP="00D67259">
      <w:pPr>
        <w:jc w:val="left"/>
        <w:rPr>
          <w:lang w:val="en-GB"/>
        </w:rPr>
      </w:pPr>
      <w:r>
        <w:rPr>
          <w:lang w:val="en-GB"/>
        </w:rPr>
        <w:t>While the actual definition of T</w:t>
      </w:r>
      <w:r w:rsidRPr="00733AB8">
        <w:rPr>
          <w:vertAlign w:val="subscript"/>
          <w:lang w:val="en-GB"/>
        </w:rPr>
        <w:t>measure</w:t>
      </w:r>
      <w:r w:rsidR="00733AB8">
        <w:rPr>
          <w:vertAlign w:val="subscript"/>
          <w:lang w:val="en-GB"/>
        </w:rPr>
        <w:t>_</w:t>
      </w:r>
      <w:r w:rsidRPr="00733AB8">
        <w:rPr>
          <w:vertAlign w:val="subscript"/>
          <w:lang w:val="en-GB"/>
        </w:rPr>
        <w:t>PCell</w:t>
      </w:r>
      <w:r>
        <w:rPr>
          <w:lang w:val="en-GB"/>
        </w:rPr>
        <w:t xml:space="preserve"> and T</w:t>
      </w:r>
      <w:r w:rsidRPr="00733AB8">
        <w:rPr>
          <w:vertAlign w:val="subscript"/>
          <w:lang w:val="en-GB"/>
        </w:rPr>
        <w:t>measure</w:t>
      </w:r>
      <w:r w:rsidR="00733AB8">
        <w:rPr>
          <w:vertAlign w:val="subscript"/>
          <w:lang w:val="en-GB"/>
        </w:rPr>
        <w:t>_</w:t>
      </w:r>
      <w:r w:rsidRPr="00733AB8">
        <w:rPr>
          <w:vertAlign w:val="subscript"/>
          <w:lang w:val="en-GB"/>
        </w:rPr>
        <w:t>PSCell</w:t>
      </w:r>
      <w:r>
        <w:rPr>
          <w:lang w:val="en-GB"/>
        </w:rPr>
        <w:t xml:space="preserve"> is the same</w:t>
      </w:r>
      <w:r w:rsidR="00FA1C9A">
        <w:rPr>
          <w:lang w:val="en-GB"/>
        </w:rPr>
        <w:t>,</w:t>
      </w:r>
      <w:r>
        <w:rPr>
          <w:lang w:val="en-GB"/>
        </w:rPr>
        <w:t xml:space="preserve"> in the case when the UE is not provided with CHO-only configuration, the duration/delay of T</w:t>
      </w:r>
      <w:r w:rsidRPr="00733AB8">
        <w:rPr>
          <w:vertAlign w:val="subscript"/>
          <w:lang w:val="en-GB"/>
        </w:rPr>
        <w:t>measure</w:t>
      </w:r>
      <w:r>
        <w:rPr>
          <w:lang w:val="en-GB"/>
        </w:rPr>
        <w:t xml:space="preserve"> should be edited to cover this case.</w:t>
      </w:r>
    </w:p>
    <w:p w14:paraId="05E7DA13" w14:textId="25AD1A20" w:rsidR="00CB38B2" w:rsidRDefault="00CB38B2" w:rsidP="00D67259">
      <w:pPr>
        <w:pStyle w:val="RAN4proposal"/>
        <w:rPr>
          <w:lang w:val="en-GB"/>
        </w:rPr>
      </w:pPr>
      <w:r>
        <w:rPr>
          <w:lang w:val="en-GB"/>
        </w:rPr>
        <w:t xml:space="preserve">When UE is provided a CHO-only configuration, the </w:t>
      </w:r>
      <w:r w:rsidRPr="00BA029D">
        <w:rPr>
          <w:i/>
          <w:iCs w:val="0"/>
          <w:lang w:val="en-GB"/>
        </w:rPr>
        <w:t>duration</w:t>
      </w:r>
      <w:r>
        <w:rPr>
          <w:lang w:val="en-GB"/>
        </w:rPr>
        <w:t xml:space="preserve"> of T</w:t>
      </w:r>
      <w:r w:rsidRPr="00CB38B2">
        <w:rPr>
          <w:vertAlign w:val="subscript"/>
          <w:lang w:val="en-GB"/>
        </w:rPr>
        <w:t>measure</w:t>
      </w:r>
      <w:r>
        <w:rPr>
          <w:lang w:val="en-GB"/>
        </w:rPr>
        <w:t>=T</w:t>
      </w:r>
      <w:r w:rsidRPr="00CB38B2">
        <w:rPr>
          <w:vertAlign w:val="subscript"/>
          <w:lang w:val="en-GB"/>
        </w:rPr>
        <w:t>measure_PCell</w:t>
      </w:r>
      <w:r w:rsidR="00733AB8">
        <w:rPr>
          <w:lang w:val="en-GB"/>
        </w:rPr>
        <w:t xml:space="preserve"> for both PCell and PSCell</w:t>
      </w:r>
      <w:r w:rsidR="00352515">
        <w:rPr>
          <w:lang w:val="en-GB"/>
        </w:rPr>
        <w:t xml:space="preserve"> i.e.</w:t>
      </w:r>
      <w:r w:rsidR="00A91F51">
        <w:rPr>
          <w:lang w:val="en-GB"/>
        </w:rPr>
        <w:t xml:space="preserve"> the</w:t>
      </w:r>
      <w:r w:rsidR="00352515">
        <w:rPr>
          <w:lang w:val="en-GB"/>
        </w:rPr>
        <w:t xml:space="preserve"> </w:t>
      </w:r>
      <w:r w:rsidR="00A91F51">
        <w:rPr>
          <w:lang w:val="en-GB"/>
        </w:rPr>
        <w:t xml:space="preserve">max-function </w:t>
      </w:r>
      <w:r w:rsidR="005668BA" w:rsidRPr="004B7FD1">
        <w:t>max(</w:t>
      </w:r>
      <w:r w:rsidR="005668BA" w:rsidRPr="004B7FD1">
        <w:rPr>
          <w:lang w:eastAsia="zh-CN"/>
        </w:rPr>
        <w:t>T</w:t>
      </w:r>
      <w:r w:rsidR="005668BA" w:rsidRPr="004B7FD1">
        <w:rPr>
          <w:vertAlign w:val="subscript"/>
          <w:lang w:eastAsia="zh-CN"/>
        </w:rPr>
        <w:t>measure</w:t>
      </w:r>
      <w:r w:rsidR="005668BA" w:rsidRPr="004B7FD1">
        <w:rPr>
          <w:rFonts w:eastAsiaTheme="minorEastAsia"/>
          <w:vertAlign w:val="subscript"/>
          <w:lang w:eastAsia="zh-CN"/>
        </w:rPr>
        <w:t>_PCell</w:t>
      </w:r>
      <w:r w:rsidR="005668BA" w:rsidRPr="004B7FD1">
        <w:t>, T</w:t>
      </w:r>
      <w:r w:rsidR="005668BA" w:rsidRPr="004B7FD1">
        <w:rPr>
          <w:vertAlign w:val="subscript"/>
        </w:rPr>
        <w:t>measure</w:t>
      </w:r>
      <w:r w:rsidR="005668BA" w:rsidRPr="004B7FD1">
        <w:rPr>
          <w:rFonts w:eastAsiaTheme="minorEastAsia"/>
          <w:vertAlign w:val="subscript"/>
          <w:lang w:eastAsia="zh-CN"/>
        </w:rPr>
        <w:t>_PSCell</w:t>
      </w:r>
      <w:r w:rsidR="005668BA" w:rsidRPr="004B7FD1">
        <w:t>)</w:t>
      </w:r>
      <w:r w:rsidR="005668BA">
        <w:t xml:space="preserve"> </w:t>
      </w:r>
      <w:r w:rsidR="00A91F51">
        <w:rPr>
          <w:lang w:val="en-GB"/>
        </w:rPr>
        <w:t>does not apply</w:t>
      </w:r>
      <w:r>
        <w:rPr>
          <w:lang w:val="en-GB"/>
        </w:rPr>
        <w:t>.</w:t>
      </w:r>
    </w:p>
    <w:p w14:paraId="2ECA9045" w14:textId="05EA1033" w:rsidR="00CB38B2" w:rsidRDefault="00CD3215" w:rsidP="00D67259">
      <w:pPr>
        <w:jc w:val="left"/>
        <w:rPr>
          <w:lang w:val="en-GB"/>
        </w:rPr>
      </w:pPr>
      <w:r>
        <w:rPr>
          <w:lang w:val="en-GB"/>
        </w:rPr>
        <w:t>The requirements that</w:t>
      </w:r>
      <w:r w:rsidR="004A2CB7">
        <w:rPr>
          <w:lang w:val="en-GB"/>
        </w:rPr>
        <w:t xml:space="preserve"> are defined for CHO+CPC only take into account the scenario where the UE proceeds with CHO+CPC. In the definition of other parameters of the equation we do not see a difference </w:t>
      </w:r>
      <w:r w:rsidR="00625EDB">
        <w:rPr>
          <w:lang w:val="en-GB"/>
        </w:rPr>
        <w:t xml:space="preserve">between the case when the UE is or is not provided with CHO-only configuration. </w:t>
      </w:r>
    </w:p>
    <w:p w14:paraId="510BD84C" w14:textId="6E7AE178" w:rsidR="00C12D71" w:rsidRPr="00D227B2" w:rsidRDefault="009C0992" w:rsidP="00D67259">
      <w:pPr>
        <w:pStyle w:val="RAN4proposal"/>
        <w:rPr>
          <w:lang w:val="en-GB"/>
        </w:rPr>
      </w:pPr>
      <w:r>
        <w:rPr>
          <w:lang w:val="en-GB"/>
        </w:rPr>
        <w:t xml:space="preserve">Other parameters of the CHO+CPC delay equation are the same for </w:t>
      </w:r>
      <w:r w:rsidR="00D30D13">
        <w:rPr>
          <w:lang w:val="en-GB"/>
        </w:rPr>
        <w:t xml:space="preserve">the cases </w:t>
      </w:r>
      <w:r>
        <w:rPr>
          <w:lang w:val="en-GB"/>
        </w:rPr>
        <w:t>when the UE is or is not provided a CHO-only configuration.</w:t>
      </w:r>
    </w:p>
    <w:p w14:paraId="617C579E" w14:textId="661377C8" w:rsidR="00C12D71" w:rsidRDefault="00CC5FDB" w:rsidP="00D67259">
      <w:pPr>
        <w:pStyle w:val="RAN4H2"/>
        <w:jc w:val="left"/>
      </w:pPr>
      <w:bookmarkStart w:id="8" w:name="_Toc116995849"/>
      <w:r>
        <w:t>Measurements</w:t>
      </w:r>
      <w:r w:rsidR="00C12D71">
        <w:t xml:space="preserve"> after candidate PSCell condition </w:t>
      </w:r>
      <w:r w:rsidR="00D227B2">
        <w:t xml:space="preserve">associated to a candidate PCell </w:t>
      </w:r>
      <w:r w:rsidR="00C12D71">
        <w:t>holds</w:t>
      </w:r>
    </w:p>
    <w:p w14:paraId="47FBFBAA" w14:textId="79CA9E92" w:rsidR="000F0D6A" w:rsidRDefault="00C12D71" w:rsidP="00D67259">
      <w:pPr>
        <w:jc w:val="left"/>
      </w:pPr>
      <w:r>
        <w:t xml:space="preserve">The </w:t>
      </w:r>
      <w:r w:rsidR="00BC3D3F">
        <w:t xml:space="preserve">network may provide </w:t>
      </w:r>
      <w:r>
        <w:t>multiple candidate PSCells for a single candidate PCell</w:t>
      </w:r>
      <w:r w:rsidR="00BC3D3F">
        <w:t xml:space="preserve"> </w:t>
      </w:r>
      <w:r w:rsidR="00885A92">
        <w:t>in the configuration for</w:t>
      </w:r>
      <w:r w:rsidR="00BC3D3F">
        <w:t xml:space="preserve"> </w:t>
      </w:r>
      <w:r w:rsidR="000536BD">
        <w:t>CHO with CPC</w:t>
      </w:r>
      <w:r w:rsidR="00580E4B">
        <w:t>/A</w:t>
      </w:r>
      <w:r>
        <w:t>. Once the candidate PSCell execution condition holds</w:t>
      </w:r>
      <w:r w:rsidR="00B11BCB">
        <w:t xml:space="preserve"> for one of the PSCells</w:t>
      </w:r>
      <w:r w:rsidR="00FB62DB">
        <w:t>,</w:t>
      </w:r>
      <w:r>
        <w:t xml:space="preserve"> then the UE has to wait until the candidate PCell condition </w:t>
      </w:r>
      <w:r w:rsidR="003601DB">
        <w:t>is met as well</w:t>
      </w:r>
      <w:r>
        <w:t xml:space="preserve">. </w:t>
      </w:r>
      <w:r w:rsidR="005E56EB">
        <w:t xml:space="preserve">In case there are other candidate PSCells </w:t>
      </w:r>
      <w:r w:rsidR="00B10114">
        <w:t xml:space="preserve">that are on different carriers </w:t>
      </w:r>
      <w:r w:rsidR="005E56EB">
        <w:t>associated with the same candidate PCell</w:t>
      </w:r>
      <w:r w:rsidR="000F0D6A">
        <w:t>, with the current RAN2 assumption the</w:t>
      </w:r>
      <w:r w:rsidR="005E56EB">
        <w:t xml:space="preserve"> UE </w:t>
      </w:r>
      <w:r w:rsidR="00FC0137">
        <w:t>should</w:t>
      </w:r>
      <w:r w:rsidR="000F0D6A">
        <w:t xml:space="preserve"> continue measuring and evaluating all those PSCells until the PCell condition is met</w:t>
      </w:r>
      <w:r w:rsidR="005E56EB">
        <w:t>.</w:t>
      </w:r>
      <w:r w:rsidR="00FC0137">
        <w:t xml:space="preserve"> </w:t>
      </w:r>
      <w:r w:rsidR="002B6D95">
        <w:t xml:space="preserve">We would like RAN4 to discuss whether this is </w:t>
      </w:r>
      <w:r w:rsidR="00357E9A">
        <w:t xml:space="preserve">necessary in all cases, or would it be reasonable to relax the measurement requirements on the </w:t>
      </w:r>
      <w:r w:rsidR="00C70EF6">
        <w:t>other PSCell</w:t>
      </w:r>
      <w:r w:rsidR="00BA4A1B">
        <w:t xml:space="preserve"> candidates</w:t>
      </w:r>
      <w:r w:rsidR="00C70EF6">
        <w:t xml:space="preserve"> </w:t>
      </w:r>
      <w:r w:rsidR="00BA4A1B">
        <w:t xml:space="preserve">than the PSCell that already met the </w:t>
      </w:r>
      <w:r w:rsidR="007503BA">
        <w:t>condition for CPC/A</w:t>
      </w:r>
      <w:r w:rsidR="00F666A6" w:rsidRPr="00F666A6">
        <w:t xml:space="preserve"> </w:t>
      </w:r>
      <w:r w:rsidR="00F666A6">
        <w:t>associated with this PCell</w:t>
      </w:r>
      <w:r w:rsidR="007503BA">
        <w:t xml:space="preserve"> until the PCell condition is met.</w:t>
      </w:r>
    </w:p>
    <w:p w14:paraId="24A5E8E9" w14:textId="6B273D90" w:rsidR="00B45F0F" w:rsidRDefault="00CD15AB" w:rsidP="00463720">
      <w:pPr>
        <w:pStyle w:val="RAN4proposal"/>
      </w:pPr>
      <w:r>
        <w:t>In the scenario when one PSCell meets the CPC condition</w:t>
      </w:r>
      <w:r w:rsidR="00AA2E97">
        <w:t xml:space="preserve"> before the CHO condition is met</w:t>
      </w:r>
      <w:r>
        <w:t xml:space="preserve">, </w:t>
      </w:r>
      <w:r w:rsidR="00F40FC1">
        <w:t xml:space="preserve">RAN4 to discuss </w:t>
      </w:r>
      <w:r>
        <w:t>whether</w:t>
      </w:r>
      <w:r w:rsidR="00F40FC1">
        <w:t xml:space="preserve"> the </w:t>
      </w:r>
      <w:r w:rsidR="00647BC4">
        <w:t xml:space="preserve">measurement requirement for </w:t>
      </w:r>
      <w:r>
        <w:t xml:space="preserve">other </w:t>
      </w:r>
      <w:r w:rsidR="00647BC4">
        <w:t xml:space="preserve">PSCells </w:t>
      </w:r>
      <w:r>
        <w:t xml:space="preserve">associated with the same PCell </w:t>
      </w:r>
      <w:r w:rsidR="00951DC8">
        <w:t xml:space="preserve">in the CHO+CPC configuration </w:t>
      </w:r>
      <w:r w:rsidR="00D866E6">
        <w:t xml:space="preserve">can </w:t>
      </w:r>
      <w:r w:rsidR="005D30F9">
        <w:t>be relaxed</w:t>
      </w:r>
      <w:r w:rsidR="00D866E6">
        <w:t xml:space="preserve"> until PCell condition is met.</w:t>
      </w:r>
    </w:p>
    <w:p w14:paraId="6B849515" w14:textId="1A120F3B" w:rsidR="00B45F0F" w:rsidRDefault="00B45F0F" w:rsidP="00B45F0F">
      <w:pPr>
        <w:pStyle w:val="RAN4H1"/>
      </w:pPr>
      <w:r>
        <w:t>Conclusion</w:t>
      </w:r>
    </w:p>
    <w:p w14:paraId="23803CA7" w14:textId="76CA2B67" w:rsidR="00B45F0F" w:rsidRDefault="00B45F0F" w:rsidP="00B45F0F">
      <w:pPr>
        <w:rPr>
          <w:lang w:val="en-GB"/>
        </w:rPr>
      </w:pPr>
      <w:r>
        <w:rPr>
          <w:lang w:val="en-GB"/>
        </w:rPr>
        <w:t>In this contribution we have made the following proposals and observations:</w:t>
      </w:r>
    </w:p>
    <w:p w14:paraId="1F1BB7B6" w14:textId="77777777" w:rsidR="00B45F0F" w:rsidRDefault="00B45F0F" w:rsidP="00B45F0F">
      <w:pPr>
        <w:pStyle w:val="RAN4Observation"/>
        <w:numPr>
          <w:ilvl w:val="0"/>
          <w:numId w:val="10"/>
        </w:numPr>
        <w:jc w:val="left"/>
      </w:pPr>
      <w:r>
        <w:t>The max function for agreed for T</w:t>
      </w:r>
      <w:r w:rsidRPr="00B45F0F">
        <w:rPr>
          <w:vertAlign w:val="subscript"/>
        </w:rPr>
        <w:t>measure</w:t>
      </w:r>
      <w:r>
        <w:t xml:space="preserve"> when CHO-only configuration is not met, </w:t>
      </w:r>
      <w:r w:rsidRPr="004B7FD1">
        <w:t>max (</w:t>
      </w:r>
      <w:r w:rsidRPr="004B7FD1">
        <w:rPr>
          <w:lang w:eastAsia="zh-CN"/>
        </w:rPr>
        <w:t>T</w:t>
      </w:r>
      <w:r w:rsidRPr="00B45F0F">
        <w:rPr>
          <w:vertAlign w:val="subscript"/>
          <w:lang w:eastAsia="zh-CN"/>
        </w:rPr>
        <w:t>measure</w:t>
      </w:r>
      <w:r w:rsidRPr="00B45F0F">
        <w:rPr>
          <w:rFonts w:eastAsiaTheme="minorEastAsia"/>
          <w:vertAlign w:val="subscript"/>
          <w:lang w:eastAsia="zh-CN"/>
        </w:rPr>
        <w:t>_PCell</w:t>
      </w:r>
      <w:r w:rsidRPr="004B7FD1">
        <w:t>, T</w:t>
      </w:r>
      <w:r w:rsidRPr="00B45F0F">
        <w:rPr>
          <w:vertAlign w:val="subscript"/>
        </w:rPr>
        <w:t>measure</w:t>
      </w:r>
      <w:r w:rsidRPr="00B45F0F">
        <w:rPr>
          <w:rFonts w:eastAsiaTheme="minorEastAsia"/>
          <w:vertAlign w:val="subscript"/>
          <w:lang w:eastAsia="zh-CN"/>
        </w:rPr>
        <w:t>_PSCell</w:t>
      </w:r>
      <w:r w:rsidRPr="004B7FD1">
        <w:t>)</w:t>
      </w:r>
      <w:r>
        <w:t>, does not apply for the case when the UE is provided with CHO-only configuration.</w:t>
      </w:r>
    </w:p>
    <w:p w14:paraId="56D5565A" w14:textId="77777777" w:rsidR="00B45F0F" w:rsidRPr="00B45F0F" w:rsidRDefault="00B45F0F" w:rsidP="00B45F0F">
      <w:pPr>
        <w:pStyle w:val="RAN4proposal"/>
        <w:numPr>
          <w:ilvl w:val="0"/>
          <w:numId w:val="11"/>
        </w:numPr>
        <w:rPr>
          <w:lang w:val="en-GB"/>
        </w:rPr>
      </w:pPr>
      <w:r w:rsidRPr="00B45F0F">
        <w:rPr>
          <w:lang w:val="en-GB"/>
        </w:rPr>
        <w:t xml:space="preserve">When UE is provided a CHO-only configuration, the </w:t>
      </w:r>
      <w:r w:rsidRPr="00B45F0F">
        <w:rPr>
          <w:i/>
          <w:iCs w:val="0"/>
          <w:lang w:val="en-GB"/>
        </w:rPr>
        <w:t>duration</w:t>
      </w:r>
      <w:r w:rsidRPr="00B45F0F">
        <w:rPr>
          <w:lang w:val="en-GB"/>
        </w:rPr>
        <w:t xml:space="preserve"> of T</w:t>
      </w:r>
      <w:r w:rsidRPr="00B45F0F">
        <w:rPr>
          <w:vertAlign w:val="subscript"/>
          <w:lang w:val="en-GB"/>
        </w:rPr>
        <w:t>measure</w:t>
      </w:r>
      <w:r w:rsidRPr="00B45F0F">
        <w:rPr>
          <w:lang w:val="en-GB"/>
        </w:rPr>
        <w:t>=T</w:t>
      </w:r>
      <w:r w:rsidRPr="00B45F0F">
        <w:rPr>
          <w:vertAlign w:val="subscript"/>
          <w:lang w:val="en-GB"/>
        </w:rPr>
        <w:t>measure_PCell</w:t>
      </w:r>
      <w:r w:rsidRPr="00B45F0F">
        <w:rPr>
          <w:lang w:val="en-GB"/>
        </w:rPr>
        <w:t xml:space="preserve"> for both PCell and PSCell i.e. the max-function </w:t>
      </w:r>
      <w:r w:rsidRPr="004B7FD1">
        <w:t>max(</w:t>
      </w:r>
      <w:r w:rsidRPr="004B7FD1">
        <w:rPr>
          <w:lang w:eastAsia="zh-CN"/>
        </w:rPr>
        <w:t>T</w:t>
      </w:r>
      <w:r w:rsidRPr="00B45F0F">
        <w:rPr>
          <w:vertAlign w:val="subscript"/>
          <w:lang w:eastAsia="zh-CN"/>
        </w:rPr>
        <w:t>measure</w:t>
      </w:r>
      <w:r w:rsidRPr="00B45F0F">
        <w:rPr>
          <w:rFonts w:eastAsiaTheme="minorEastAsia"/>
          <w:vertAlign w:val="subscript"/>
          <w:lang w:eastAsia="zh-CN"/>
        </w:rPr>
        <w:t>_PCell</w:t>
      </w:r>
      <w:r w:rsidRPr="004B7FD1">
        <w:t>, T</w:t>
      </w:r>
      <w:r w:rsidRPr="00B45F0F">
        <w:rPr>
          <w:vertAlign w:val="subscript"/>
        </w:rPr>
        <w:t>measure</w:t>
      </w:r>
      <w:r w:rsidRPr="00B45F0F">
        <w:rPr>
          <w:rFonts w:eastAsiaTheme="minorEastAsia"/>
          <w:vertAlign w:val="subscript"/>
          <w:lang w:eastAsia="zh-CN"/>
        </w:rPr>
        <w:t>_PSCell</w:t>
      </w:r>
      <w:r w:rsidRPr="004B7FD1">
        <w:t>)</w:t>
      </w:r>
      <w:r>
        <w:t xml:space="preserve"> </w:t>
      </w:r>
      <w:r w:rsidRPr="00B45F0F">
        <w:rPr>
          <w:lang w:val="en-GB"/>
        </w:rPr>
        <w:t>does not apply.</w:t>
      </w:r>
    </w:p>
    <w:p w14:paraId="34529EFF" w14:textId="77777777" w:rsidR="00B45F0F" w:rsidRPr="00D227B2" w:rsidRDefault="00B45F0F" w:rsidP="00B45F0F">
      <w:pPr>
        <w:pStyle w:val="RAN4proposal"/>
        <w:rPr>
          <w:lang w:val="en-GB"/>
        </w:rPr>
      </w:pPr>
      <w:r>
        <w:rPr>
          <w:lang w:val="en-GB"/>
        </w:rPr>
        <w:t>Other parameters of the CHO+CPC delay equation are the same for the cases when the UE is or is not provided a CHO-only configuration.</w:t>
      </w:r>
    </w:p>
    <w:p w14:paraId="7A64991D" w14:textId="77777777" w:rsidR="00B45F0F" w:rsidRDefault="00B45F0F" w:rsidP="00B45F0F">
      <w:pPr>
        <w:pStyle w:val="RAN4proposal"/>
      </w:pPr>
      <w:r>
        <w:t>In the scenario when one PSCell meets the CPC condition before the CHO condition is met, RAN4 to discuss whether the measurement requirement for other PSCells associated with the same PCell in the CHO+CPC configuration can be relaxed until PCell condition is met.</w:t>
      </w:r>
    </w:p>
    <w:p w14:paraId="636B3B7D" w14:textId="77777777" w:rsidR="00B45F0F" w:rsidRPr="00B45F0F" w:rsidRDefault="00B45F0F" w:rsidP="00B45F0F">
      <w:pPr>
        <w:rPr>
          <w:lang w:val="en-GB"/>
        </w:rPr>
      </w:pPr>
    </w:p>
    <w:p w14:paraId="7FFE1C0D" w14:textId="2C4E3AFD" w:rsidR="00A22B33" w:rsidRDefault="00A22B33" w:rsidP="00A22B33">
      <w:pPr>
        <w:pStyle w:val="RAN4H1"/>
        <w:numPr>
          <w:ilvl w:val="0"/>
          <w:numId w:val="0"/>
        </w:numPr>
        <w:ind w:left="360" w:hanging="360"/>
      </w:pPr>
      <w:r w:rsidRPr="00EF698B">
        <w:t>References</w:t>
      </w:r>
      <w:bookmarkEnd w:id="8"/>
    </w:p>
    <w:p w14:paraId="01557E11" w14:textId="502ED4CD" w:rsidR="00DB20A0" w:rsidRDefault="00DB20A0">
      <w:pPr>
        <w:pStyle w:val="ListParagraph"/>
        <w:numPr>
          <w:ilvl w:val="0"/>
          <w:numId w:val="6"/>
        </w:numPr>
        <w:rPr>
          <w:lang w:val="en-GB"/>
        </w:rPr>
      </w:pPr>
      <w:bookmarkStart w:id="9" w:name="_Ref144453148"/>
      <w:r w:rsidRPr="00AA5058">
        <w:rPr>
          <w:lang w:val="en-GB"/>
        </w:rPr>
        <w:t>R4-2314327, DraftCR on CHO with Pscell change, Qualcomm</w:t>
      </w:r>
      <w:r w:rsidR="00AA5058" w:rsidRPr="00AA5058">
        <w:rPr>
          <w:lang w:val="en-GB"/>
        </w:rPr>
        <w:t>, 3GPP TSG-RAN WG4 Meeting #108, Toulouse, France, 21-26 August 2023.</w:t>
      </w:r>
      <w:bookmarkEnd w:id="9"/>
    </w:p>
    <w:p w14:paraId="6CBA0AFB" w14:textId="77777777" w:rsidR="00AA5058" w:rsidRPr="00AA5058" w:rsidRDefault="00AA5058" w:rsidP="00AA5058">
      <w:pPr>
        <w:pStyle w:val="ListParagraph"/>
        <w:numPr>
          <w:ilvl w:val="0"/>
          <w:numId w:val="6"/>
        </w:numPr>
        <w:rPr>
          <w:lang w:val="en-GB"/>
        </w:rPr>
      </w:pPr>
      <w:bookmarkStart w:id="10" w:name="_Ref144453149"/>
      <w:r w:rsidRPr="00AA5058">
        <w:rPr>
          <w:lang w:val="en-GB"/>
        </w:rPr>
        <w:t>R4-2314328, CR on Conditional handover including target MCG and candidate SCG for CPC for FR1-FR1 in NR-DC, vivo, 3GPP TSG-RAN WG4 Meeting #108, Toulouse, France, 21-26 August 2023.</w:t>
      </w:r>
      <w:bookmarkEnd w:id="10"/>
    </w:p>
    <w:p w14:paraId="6A3A724E" w14:textId="77777777" w:rsidR="00AA5058" w:rsidRPr="00AA5058" w:rsidRDefault="00AA5058" w:rsidP="00AA5058">
      <w:pPr>
        <w:pStyle w:val="ListParagraph"/>
        <w:numPr>
          <w:ilvl w:val="0"/>
          <w:numId w:val="6"/>
        </w:numPr>
        <w:rPr>
          <w:lang w:val="en-GB"/>
        </w:rPr>
      </w:pPr>
      <w:bookmarkStart w:id="11" w:name="_Ref144453150"/>
      <w:r w:rsidRPr="00AA5058">
        <w:rPr>
          <w:lang w:val="en-GB"/>
        </w:rPr>
        <w:t>R4-2314329, Conditional handover including target MCG in FR1 and target SCG in FR2 in NR-DC, Huawei, 3GPP TSG-RAN WG4 Meeting #108, Toulouse, France, 21-26 August 2023.</w:t>
      </w:r>
      <w:bookmarkEnd w:id="11"/>
    </w:p>
    <w:p w14:paraId="26655B47" w14:textId="597AD58B" w:rsidR="00AA5058" w:rsidRDefault="00AA5058" w:rsidP="00AA5058">
      <w:pPr>
        <w:pStyle w:val="ListParagraph"/>
        <w:numPr>
          <w:ilvl w:val="0"/>
          <w:numId w:val="6"/>
        </w:numPr>
        <w:rPr>
          <w:lang w:val="en-GB"/>
        </w:rPr>
      </w:pPr>
      <w:bookmarkStart w:id="12" w:name="_Ref144453152"/>
      <w:r w:rsidRPr="00AA5058">
        <w:rPr>
          <w:lang w:val="en-GB"/>
        </w:rPr>
        <w:lastRenderedPageBreak/>
        <w:t>R4-2314330, draft CR on CHO with CPAC for FR1+FR2 NR-DC, Ericsson, 3GPP TSG-RAN WG4 Meeting #108, Toulouse, France, 21-26 August 2023.</w:t>
      </w:r>
      <w:bookmarkEnd w:id="12"/>
    </w:p>
    <w:p w14:paraId="34240F43" w14:textId="6D90960E" w:rsidR="00AA5058" w:rsidRPr="00AA5058" w:rsidRDefault="00AA5058" w:rsidP="00AA5058">
      <w:pPr>
        <w:pStyle w:val="ListParagraph"/>
        <w:numPr>
          <w:ilvl w:val="0"/>
          <w:numId w:val="6"/>
        </w:numPr>
        <w:rPr>
          <w:lang w:val="en-GB"/>
        </w:rPr>
      </w:pPr>
      <w:bookmarkStart w:id="13" w:name="_Ref144453206"/>
      <w:r w:rsidRPr="00AA5058">
        <w:rPr>
          <w:lang w:val="en-GB"/>
        </w:rPr>
        <w:t>R4-2314332</w:t>
      </w:r>
      <w:r>
        <w:rPr>
          <w:lang w:val="en-GB"/>
        </w:rPr>
        <w:t xml:space="preserve">, </w:t>
      </w:r>
      <w:r w:rsidRPr="00AA5058">
        <w:rPr>
          <w:lang w:val="en-GB"/>
        </w:rPr>
        <w:t>WF on NR Mobility Enhancements (Part 2)</w:t>
      </w:r>
      <w:r>
        <w:rPr>
          <w:lang w:val="en-GB"/>
        </w:rPr>
        <w:t xml:space="preserve">, </w:t>
      </w:r>
      <w:r w:rsidRPr="00AA5058">
        <w:rPr>
          <w:lang w:val="en-GB"/>
        </w:rPr>
        <w:t>Apple</w:t>
      </w:r>
      <w:r>
        <w:rPr>
          <w:lang w:val="en-GB"/>
        </w:rPr>
        <w:t xml:space="preserve">, </w:t>
      </w:r>
      <w:r w:rsidRPr="00AA5058">
        <w:rPr>
          <w:lang w:val="en-GB"/>
        </w:rPr>
        <w:t>3GPP TSG-RAN WG4 Meeting #108, Toulouse, France, 21-26 August 2023.</w:t>
      </w:r>
      <w:bookmarkEnd w:id="13"/>
    </w:p>
    <w:p w14:paraId="47D2093F" w14:textId="77777777" w:rsidR="00DB20A0" w:rsidRPr="00DB20A0" w:rsidRDefault="00DB20A0" w:rsidP="00DB20A0">
      <w:pPr>
        <w:rPr>
          <w:lang w:val="en-GB"/>
        </w:rPr>
      </w:pPr>
    </w:p>
    <w:p w14:paraId="19AEC819" w14:textId="77777777" w:rsidR="00DB20A0" w:rsidRPr="00DB20A0" w:rsidRDefault="00DB20A0" w:rsidP="00DB20A0">
      <w:pPr>
        <w:rPr>
          <w:lang w:val="en-GB"/>
        </w:rPr>
      </w:pPr>
    </w:p>
    <w:p w14:paraId="28B34FF4" w14:textId="77777777" w:rsidR="00DB20A0" w:rsidRPr="00DB20A0" w:rsidRDefault="00DB20A0" w:rsidP="00DB20A0">
      <w:pPr>
        <w:rPr>
          <w:lang w:val="en-GB"/>
        </w:rPr>
      </w:pPr>
    </w:p>
    <w:sectPr w:rsidR="00DB20A0" w:rsidRPr="00DB20A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43D3" w14:textId="77777777" w:rsidR="00FA7947" w:rsidRDefault="00FA7947" w:rsidP="00001C9B">
      <w:pPr>
        <w:spacing w:after="0" w:line="240" w:lineRule="auto"/>
      </w:pPr>
      <w:r>
        <w:separator/>
      </w:r>
    </w:p>
  </w:endnote>
  <w:endnote w:type="continuationSeparator" w:id="0">
    <w:p w14:paraId="6CFED3B5" w14:textId="77777777" w:rsidR="00FA7947" w:rsidRDefault="00FA7947" w:rsidP="00001C9B">
      <w:pPr>
        <w:spacing w:after="0" w:line="240" w:lineRule="auto"/>
      </w:pPr>
      <w:r>
        <w:continuationSeparator/>
      </w:r>
    </w:p>
  </w:endnote>
  <w:endnote w:type="continuationNotice" w:id="1">
    <w:p w14:paraId="0DD8122C" w14:textId="77777777" w:rsidR="00FA7947" w:rsidRDefault="00FA79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C4B59" w14:textId="77777777" w:rsidR="00FA7947" w:rsidRDefault="00FA7947" w:rsidP="00001C9B">
      <w:pPr>
        <w:spacing w:after="0" w:line="240" w:lineRule="auto"/>
      </w:pPr>
      <w:r>
        <w:separator/>
      </w:r>
    </w:p>
  </w:footnote>
  <w:footnote w:type="continuationSeparator" w:id="0">
    <w:p w14:paraId="72EB15EE" w14:textId="77777777" w:rsidR="00FA7947" w:rsidRDefault="00FA7947" w:rsidP="00001C9B">
      <w:pPr>
        <w:spacing w:after="0" w:line="240" w:lineRule="auto"/>
      </w:pPr>
      <w:r>
        <w:continuationSeparator/>
      </w:r>
    </w:p>
  </w:footnote>
  <w:footnote w:type="continuationNotice" w:id="1">
    <w:p w14:paraId="28D12E55" w14:textId="77777777" w:rsidR="00FA7947" w:rsidRDefault="00FA79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6605F"/>
    <w:multiLevelType w:val="multilevel"/>
    <w:tmpl w:val="31C47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3"/>
      <w:numFmt w:val="bullet"/>
      <w:lvlText w:val="-"/>
      <w:lvlJc w:val="left"/>
      <w:pPr>
        <w:ind w:left="2880" w:hanging="360"/>
      </w:pPr>
      <w:rPr>
        <w:rFonts w:ascii="Times New Roman" w:eastAsiaTheme="minorHAnsi" w:hAnsi="Times New Roman" w:cs="Times New Roman" w:hint="default"/>
        <w:b/>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270959"/>
    <w:multiLevelType w:val="hybridMultilevel"/>
    <w:tmpl w:val="B9EC182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176F8B"/>
    <w:multiLevelType w:val="multilevel"/>
    <w:tmpl w:val="F256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CF0591"/>
    <w:multiLevelType w:val="multilevel"/>
    <w:tmpl w:val="571C4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3193073">
    <w:abstractNumId w:val="7"/>
  </w:num>
  <w:num w:numId="2" w16cid:durableId="391276896">
    <w:abstractNumId w:val="5"/>
  </w:num>
  <w:num w:numId="3" w16cid:durableId="1572957536">
    <w:abstractNumId w:val="6"/>
  </w:num>
  <w:num w:numId="4" w16cid:durableId="167990357">
    <w:abstractNumId w:val="8"/>
  </w:num>
  <w:num w:numId="5" w16cid:durableId="206534301">
    <w:abstractNumId w:val="0"/>
  </w:num>
  <w:num w:numId="6" w16cid:durableId="1131943083">
    <w:abstractNumId w:val="2"/>
  </w:num>
  <w:num w:numId="7" w16cid:durableId="1773011534">
    <w:abstractNumId w:val="4"/>
  </w:num>
  <w:num w:numId="8" w16cid:durableId="1896113378">
    <w:abstractNumId w:val="3"/>
  </w:num>
  <w:num w:numId="9" w16cid:durableId="948663650">
    <w:abstractNumId w:val="1"/>
  </w:num>
  <w:num w:numId="10" w16cid:durableId="1930889664">
    <w:abstractNumId w:val="5"/>
    <w:lvlOverride w:ilvl="0">
      <w:startOverride w:val="1"/>
    </w:lvlOverride>
  </w:num>
  <w:num w:numId="11" w16cid:durableId="1182864614">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989"/>
    <w:rsid w:val="00001C9B"/>
    <w:rsid w:val="000040DC"/>
    <w:rsid w:val="00006D15"/>
    <w:rsid w:val="0001176F"/>
    <w:rsid w:val="000151EF"/>
    <w:rsid w:val="00021258"/>
    <w:rsid w:val="0002172E"/>
    <w:rsid w:val="000239F5"/>
    <w:rsid w:val="0002796C"/>
    <w:rsid w:val="00037417"/>
    <w:rsid w:val="00043EE1"/>
    <w:rsid w:val="000450D1"/>
    <w:rsid w:val="00052229"/>
    <w:rsid w:val="000536BD"/>
    <w:rsid w:val="00057FC9"/>
    <w:rsid w:val="00062F33"/>
    <w:rsid w:val="00064968"/>
    <w:rsid w:val="0007207A"/>
    <w:rsid w:val="00081063"/>
    <w:rsid w:val="00082CE2"/>
    <w:rsid w:val="0008612A"/>
    <w:rsid w:val="00087482"/>
    <w:rsid w:val="00087D40"/>
    <w:rsid w:val="00090E18"/>
    <w:rsid w:val="00097B91"/>
    <w:rsid w:val="000A10BC"/>
    <w:rsid w:val="000A5B79"/>
    <w:rsid w:val="000B0056"/>
    <w:rsid w:val="000B2F89"/>
    <w:rsid w:val="000B5050"/>
    <w:rsid w:val="000C0314"/>
    <w:rsid w:val="000C3C7B"/>
    <w:rsid w:val="000D0F93"/>
    <w:rsid w:val="000D302F"/>
    <w:rsid w:val="000D3851"/>
    <w:rsid w:val="000D3A56"/>
    <w:rsid w:val="000D5B35"/>
    <w:rsid w:val="000D6DCA"/>
    <w:rsid w:val="000E47FE"/>
    <w:rsid w:val="000E4CA9"/>
    <w:rsid w:val="000F0D6A"/>
    <w:rsid w:val="000F32C3"/>
    <w:rsid w:val="000F5B8F"/>
    <w:rsid w:val="000F5E5A"/>
    <w:rsid w:val="000F63AF"/>
    <w:rsid w:val="00106416"/>
    <w:rsid w:val="00110481"/>
    <w:rsid w:val="001127C9"/>
    <w:rsid w:val="00115B88"/>
    <w:rsid w:val="001201EE"/>
    <w:rsid w:val="00126ACE"/>
    <w:rsid w:val="00132F6A"/>
    <w:rsid w:val="00133913"/>
    <w:rsid w:val="001368E1"/>
    <w:rsid w:val="00140221"/>
    <w:rsid w:val="0014572F"/>
    <w:rsid w:val="00150353"/>
    <w:rsid w:val="00151CB3"/>
    <w:rsid w:val="00153EB7"/>
    <w:rsid w:val="001564F3"/>
    <w:rsid w:val="001568CE"/>
    <w:rsid w:val="00160BFA"/>
    <w:rsid w:val="001642FC"/>
    <w:rsid w:val="0016496B"/>
    <w:rsid w:val="00170302"/>
    <w:rsid w:val="00173864"/>
    <w:rsid w:val="001743E2"/>
    <w:rsid w:val="001745F8"/>
    <w:rsid w:val="0017559A"/>
    <w:rsid w:val="00182F5A"/>
    <w:rsid w:val="001838CF"/>
    <w:rsid w:val="001868EE"/>
    <w:rsid w:val="0019069F"/>
    <w:rsid w:val="0019104A"/>
    <w:rsid w:val="00191E2E"/>
    <w:rsid w:val="00195774"/>
    <w:rsid w:val="001A3BA4"/>
    <w:rsid w:val="001A55F2"/>
    <w:rsid w:val="001A6D1F"/>
    <w:rsid w:val="001B6C58"/>
    <w:rsid w:val="001D0F6E"/>
    <w:rsid w:val="001D17BF"/>
    <w:rsid w:val="001D50AD"/>
    <w:rsid w:val="001D5417"/>
    <w:rsid w:val="001D6F17"/>
    <w:rsid w:val="001D7021"/>
    <w:rsid w:val="001E1714"/>
    <w:rsid w:val="001E30F6"/>
    <w:rsid w:val="001F7114"/>
    <w:rsid w:val="001F7292"/>
    <w:rsid w:val="001F7E87"/>
    <w:rsid w:val="0020428C"/>
    <w:rsid w:val="00210936"/>
    <w:rsid w:val="00214C90"/>
    <w:rsid w:val="00217EE5"/>
    <w:rsid w:val="0022001A"/>
    <w:rsid w:val="0022461D"/>
    <w:rsid w:val="00226524"/>
    <w:rsid w:val="0022713D"/>
    <w:rsid w:val="0023180D"/>
    <w:rsid w:val="00235F5C"/>
    <w:rsid w:val="0023655A"/>
    <w:rsid w:val="0024517D"/>
    <w:rsid w:val="00247387"/>
    <w:rsid w:val="00247CE2"/>
    <w:rsid w:val="00257FA3"/>
    <w:rsid w:val="00270523"/>
    <w:rsid w:val="00271CDF"/>
    <w:rsid w:val="00277B56"/>
    <w:rsid w:val="002805AF"/>
    <w:rsid w:val="0028356F"/>
    <w:rsid w:val="00283DD9"/>
    <w:rsid w:val="00286B23"/>
    <w:rsid w:val="0029398E"/>
    <w:rsid w:val="002A19F5"/>
    <w:rsid w:val="002A5F24"/>
    <w:rsid w:val="002B2A9F"/>
    <w:rsid w:val="002B3913"/>
    <w:rsid w:val="002B4800"/>
    <w:rsid w:val="002B4922"/>
    <w:rsid w:val="002B5A1F"/>
    <w:rsid w:val="002B6D95"/>
    <w:rsid w:val="002C0500"/>
    <w:rsid w:val="002C22C3"/>
    <w:rsid w:val="002C25A2"/>
    <w:rsid w:val="002C2D19"/>
    <w:rsid w:val="002C32A8"/>
    <w:rsid w:val="002C3D7C"/>
    <w:rsid w:val="002D10FA"/>
    <w:rsid w:val="002D4C55"/>
    <w:rsid w:val="002D4F22"/>
    <w:rsid w:val="002D7789"/>
    <w:rsid w:val="002E0E40"/>
    <w:rsid w:val="002E0FC0"/>
    <w:rsid w:val="002E5BA4"/>
    <w:rsid w:val="002E61E7"/>
    <w:rsid w:val="002E6DED"/>
    <w:rsid w:val="002F0FBE"/>
    <w:rsid w:val="002F4DE9"/>
    <w:rsid w:val="00300956"/>
    <w:rsid w:val="00303BF4"/>
    <w:rsid w:val="0030500C"/>
    <w:rsid w:val="00314BC8"/>
    <w:rsid w:val="003159B5"/>
    <w:rsid w:val="00317187"/>
    <w:rsid w:val="00317FD0"/>
    <w:rsid w:val="003211B7"/>
    <w:rsid w:val="0032499A"/>
    <w:rsid w:val="0032717C"/>
    <w:rsid w:val="003341F7"/>
    <w:rsid w:val="00337504"/>
    <w:rsid w:val="003477A3"/>
    <w:rsid w:val="00347FEC"/>
    <w:rsid w:val="003514C5"/>
    <w:rsid w:val="00352515"/>
    <w:rsid w:val="00355FEC"/>
    <w:rsid w:val="00356594"/>
    <w:rsid w:val="00356F45"/>
    <w:rsid w:val="00357E9A"/>
    <w:rsid w:val="003601DB"/>
    <w:rsid w:val="0036083B"/>
    <w:rsid w:val="0036187A"/>
    <w:rsid w:val="00361CE5"/>
    <w:rsid w:val="00361E3D"/>
    <w:rsid w:val="00361FEB"/>
    <w:rsid w:val="0036332E"/>
    <w:rsid w:val="00363CB8"/>
    <w:rsid w:val="00366B74"/>
    <w:rsid w:val="003679E2"/>
    <w:rsid w:val="0037024F"/>
    <w:rsid w:val="0037376A"/>
    <w:rsid w:val="00377128"/>
    <w:rsid w:val="00381B32"/>
    <w:rsid w:val="00381E2A"/>
    <w:rsid w:val="003869AC"/>
    <w:rsid w:val="003924DF"/>
    <w:rsid w:val="003937E8"/>
    <w:rsid w:val="00396460"/>
    <w:rsid w:val="003A0599"/>
    <w:rsid w:val="003A19A6"/>
    <w:rsid w:val="003A4805"/>
    <w:rsid w:val="003A710A"/>
    <w:rsid w:val="003B619E"/>
    <w:rsid w:val="003B659E"/>
    <w:rsid w:val="003B7153"/>
    <w:rsid w:val="003C2197"/>
    <w:rsid w:val="003C275E"/>
    <w:rsid w:val="003C3138"/>
    <w:rsid w:val="003C4F0B"/>
    <w:rsid w:val="003D2211"/>
    <w:rsid w:val="003D2429"/>
    <w:rsid w:val="003D4C96"/>
    <w:rsid w:val="003D6662"/>
    <w:rsid w:val="003E452C"/>
    <w:rsid w:val="003E58DF"/>
    <w:rsid w:val="003F30BA"/>
    <w:rsid w:val="003F4E6C"/>
    <w:rsid w:val="003F6C92"/>
    <w:rsid w:val="003F6E93"/>
    <w:rsid w:val="0040133F"/>
    <w:rsid w:val="00402383"/>
    <w:rsid w:val="00404C4C"/>
    <w:rsid w:val="00406EA6"/>
    <w:rsid w:val="004075CC"/>
    <w:rsid w:val="0041423F"/>
    <w:rsid w:val="00414F81"/>
    <w:rsid w:val="00415AA1"/>
    <w:rsid w:val="00423247"/>
    <w:rsid w:val="00426E21"/>
    <w:rsid w:val="004271CD"/>
    <w:rsid w:val="0043286F"/>
    <w:rsid w:val="00436A0F"/>
    <w:rsid w:val="00437150"/>
    <w:rsid w:val="0043750A"/>
    <w:rsid w:val="00447140"/>
    <w:rsid w:val="00451361"/>
    <w:rsid w:val="004520CC"/>
    <w:rsid w:val="004537CE"/>
    <w:rsid w:val="004558D7"/>
    <w:rsid w:val="00463400"/>
    <w:rsid w:val="00471772"/>
    <w:rsid w:val="00472834"/>
    <w:rsid w:val="004732E9"/>
    <w:rsid w:val="00477DFF"/>
    <w:rsid w:val="004854BB"/>
    <w:rsid w:val="00487226"/>
    <w:rsid w:val="00496606"/>
    <w:rsid w:val="00497B25"/>
    <w:rsid w:val="004A2CB7"/>
    <w:rsid w:val="004A5492"/>
    <w:rsid w:val="004B1AA9"/>
    <w:rsid w:val="004B234A"/>
    <w:rsid w:val="004B5622"/>
    <w:rsid w:val="004B591E"/>
    <w:rsid w:val="004B769D"/>
    <w:rsid w:val="004C62C8"/>
    <w:rsid w:val="004D204A"/>
    <w:rsid w:val="004E121F"/>
    <w:rsid w:val="004E1947"/>
    <w:rsid w:val="004E3730"/>
    <w:rsid w:val="004E5E66"/>
    <w:rsid w:val="004E7ADB"/>
    <w:rsid w:val="004F0B90"/>
    <w:rsid w:val="004F393B"/>
    <w:rsid w:val="0050045A"/>
    <w:rsid w:val="005025C3"/>
    <w:rsid w:val="00503B4D"/>
    <w:rsid w:val="00504EE9"/>
    <w:rsid w:val="00504F21"/>
    <w:rsid w:val="00510516"/>
    <w:rsid w:val="00515DE6"/>
    <w:rsid w:val="00521576"/>
    <w:rsid w:val="00522A72"/>
    <w:rsid w:val="005250E6"/>
    <w:rsid w:val="00525CBE"/>
    <w:rsid w:val="00530013"/>
    <w:rsid w:val="005321FC"/>
    <w:rsid w:val="00535A8F"/>
    <w:rsid w:val="00540D8A"/>
    <w:rsid w:val="00542D23"/>
    <w:rsid w:val="0054442C"/>
    <w:rsid w:val="00550285"/>
    <w:rsid w:val="00550A46"/>
    <w:rsid w:val="00551353"/>
    <w:rsid w:val="0055590E"/>
    <w:rsid w:val="00557A99"/>
    <w:rsid w:val="0056012E"/>
    <w:rsid w:val="00562492"/>
    <w:rsid w:val="005631B1"/>
    <w:rsid w:val="00563357"/>
    <w:rsid w:val="005668BA"/>
    <w:rsid w:val="005713FA"/>
    <w:rsid w:val="0057232C"/>
    <w:rsid w:val="00572A20"/>
    <w:rsid w:val="00572ACB"/>
    <w:rsid w:val="00573065"/>
    <w:rsid w:val="00576A95"/>
    <w:rsid w:val="00580E4B"/>
    <w:rsid w:val="00581EC5"/>
    <w:rsid w:val="0058325D"/>
    <w:rsid w:val="005836F8"/>
    <w:rsid w:val="005854B4"/>
    <w:rsid w:val="005918FA"/>
    <w:rsid w:val="00592A86"/>
    <w:rsid w:val="005953E2"/>
    <w:rsid w:val="00595CFE"/>
    <w:rsid w:val="005A18BA"/>
    <w:rsid w:val="005A2289"/>
    <w:rsid w:val="005A51C7"/>
    <w:rsid w:val="005A621E"/>
    <w:rsid w:val="005A7A00"/>
    <w:rsid w:val="005B0F3E"/>
    <w:rsid w:val="005B4801"/>
    <w:rsid w:val="005B4DBB"/>
    <w:rsid w:val="005B6B5A"/>
    <w:rsid w:val="005C0CA3"/>
    <w:rsid w:val="005C23A4"/>
    <w:rsid w:val="005C3C49"/>
    <w:rsid w:val="005D1467"/>
    <w:rsid w:val="005D1CDF"/>
    <w:rsid w:val="005D2BB7"/>
    <w:rsid w:val="005D30F9"/>
    <w:rsid w:val="005E56EB"/>
    <w:rsid w:val="005E5EBA"/>
    <w:rsid w:val="005E61A8"/>
    <w:rsid w:val="005F6419"/>
    <w:rsid w:val="0060543D"/>
    <w:rsid w:val="00605AEA"/>
    <w:rsid w:val="00605BAC"/>
    <w:rsid w:val="00606312"/>
    <w:rsid w:val="0060787C"/>
    <w:rsid w:val="006100EA"/>
    <w:rsid w:val="006104DD"/>
    <w:rsid w:val="00610AD4"/>
    <w:rsid w:val="006128C8"/>
    <w:rsid w:val="006130B5"/>
    <w:rsid w:val="00615863"/>
    <w:rsid w:val="00616F18"/>
    <w:rsid w:val="00617400"/>
    <w:rsid w:val="00623F8E"/>
    <w:rsid w:val="00625EDB"/>
    <w:rsid w:val="00631B93"/>
    <w:rsid w:val="00632D29"/>
    <w:rsid w:val="006362DB"/>
    <w:rsid w:val="00637031"/>
    <w:rsid w:val="00640D6C"/>
    <w:rsid w:val="006463AF"/>
    <w:rsid w:val="00647BC4"/>
    <w:rsid w:val="00650DDF"/>
    <w:rsid w:val="00650FF9"/>
    <w:rsid w:val="0066163C"/>
    <w:rsid w:val="00664950"/>
    <w:rsid w:val="0066535A"/>
    <w:rsid w:val="00665E32"/>
    <w:rsid w:val="00667165"/>
    <w:rsid w:val="006777AD"/>
    <w:rsid w:val="00680FC6"/>
    <w:rsid w:val="00683220"/>
    <w:rsid w:val="00686DDB"/>
    <w:rsid w:val="0068751D"/>
    <w:rsid w:val="00687FA0"/>
    <w:rsid w:val="006911A8"/>
    <w:rsid w:val="00691943"/>
    <w:rsid w:val="006A3691"/>
    <w:rsid w:val="006A3C11"/>
    <w:rsid w:val="006A4761"/>
    <w:rsid w:val="006A5C6E"/>
    <w:rsid w:val="006B0104"/>
    <w:rsid w:val="006B2BD5"/>
    <w:rsid w:val="006B33B0"/>
    <w:rsid w:val="006B6FB5"/>
    <w:rsid w:val="006B7010"/>
    <w:rsid w:val="006C19E5"/>
    <w:rsid w:val="006C2041"/>
    <w:rsid w:val="006C3095"/>
    <w:rsid w:val="006D7B28"/>
    <w:rsid w:val="006E1151"/>
    <w:rsid w:val="006E4729"/>
    <w:rsid w:val="006E486C"/>
    <w:rsid w:val="006E6311"/>
    <w:rsid w:val="006F1C83"/>
    <w:rsid w:val="006F4A34"/>
    <w:rsid w:val="006F55FC"/>
    <w:rsid w:val="006F7875"/>
    <w:rsid w:val="00700A83"/>
    <w:rsid w:val="00702809"/>
    <w:rsid w:val="00710250"/>
    <w:rsid w:val="00712D98"/>
    <w:rsid w:val="00713194"/>
    <w:rsid w:val="007145FF"/>
    <w:rsid w:val="007152FD"/>
    <w:rsid w:val="00715B2A"/>
    <w:rsid w:val="00715F1C"/>
    <w:rsid w:val="00716E6D"/>
    <w:rsid w:val="007219EB"/>
    <w:rsid w:val="00731426"/>
    <w:rsid w:val="007328D7"/>
    <w:rsid w:val="00733AB8"/>
    <w:rsid w:val="00737768"/>
    <w:rsid w:val="00737777"/>
    <w:rsid w:val="007377A9"/>
    <w:rsid w:val="00740872"/>
    <w:rsid w:val="00743262"/>
    <w:rsid w:val="007450F1"/>
    <w:rsid w:val="00745AFD"/>
    <w:rsid w:val="007503BA"/>
    <w:rsid w:val="00751515"/>
    <w:rsid w:val="007626B7"/>
    <w:rsid w:val="00766CEA"/>
    <w:rsid w:val="007672F8"/>
    <w:rsid w:val="0078212B"/>
    <w:rsid w:val="00783B77"/>
    <w:rsid w:val="007844C0"/>
    <w:rsid w:val="00784DF6"/>
    <w:rsid w:val="00785232"/>
    <w:rsid w:val="00793F89"/>
    <w:rsid w:val="007977A6"/>
    <w:rsid w:val="007A1CDB"/>
    <w:rsid w:val="007A25A7"/>
    <w:rsid w:val="007A57F4"/>
    <w:rsid w:val="007A6935"/>
    <w:rsid w:val="007B186C"/>
    <w:rsid w:val="007B3C3D"/>
    <w:rsid w:val="007C12B6"/>
    <w:rsid w:val="007C1696"/>
    <w:rsid w:val="007C181D"/>
    <w:rsid w:val="007C3A14"/>
    <w:rsid w:val="007C3E78"/>
    <w:rsid w:val="007C3ED0"/>
    <w:rsid w:val="007C5971"/>
    <w:rsid w:val="007C6DB9"/>
    <w:rsid w:val="007D0FA9"/>
    <w:rsid w:val="007D21CF"/>
    <w:rsid w:val="007D582F"/>
    <w:rsid w:val="007D6C4E"/>
    <w:rsid w:val="007E00AA"/>
    <w:rsid w:val="007F0090"/>
    <w:rsid w:val="007F2D18"/>
    <w:rsid w:val="007F54B9"/>
    <w:rsid w:val="007F66A8"/>
    <w:rsid w:val="007F7F0B"/>
    <w:rsid w:val="00804A9B"/>
    <w:rsid w:val="00805280"/>
    <w:rsid w:val="00806A76"/>
    <w:rsid w:val="00811C9D"/>
    <w:rsid w:val="00812088"/>
    <w:rsid w:val="00812A85"/>
    <w:rsid w:val="00816649"/>
    <w:rsid w:val="00816C80"/>
    <w:rsid w:val="00821498"/>
    <w:rsid w:val="00832692"/>
    <w:rsid w:val="00841BCD"/>
    <w:rsid w:val="0084237E"/>
    <w:rsid w:val="00842F23"/>
    <w:rsid w:val="00845BC7"/>
    <w:rsid w:val="00851A8E"/>
    <w:rsid w:val="0085365B"/>
    <w:rsid w:val="008549BA"/>
    <w:rsid w:val="00876C23"/>
    <w:rsid w:val="008826C1"/>
    <w:rsid w:val="00883DAE"/>
    <w:rsid w:val="00883DFD"/>
    <w:rsid w:val="00885A92"/>
    <w:rsid w:val="008866A4"/>
    <w:rsid w:val="00892023"/>
    <w:rsid w:val="00892D9B"/>
    <w:rsid w:val="0089364E"/>
    <w:rsid w:val="008A0E6D"/>
    <w:rsid w:val="008A1BF7"/>
    <w:rsid w:val="008A264A"/>
    <w:rsid w:val="008A5B0E"/>
    <w:rsid w:val="008B0961"/>
    <w:rsid w:val="008B50BA"/>
    <w:rsid w:val="008B5712"/>
    <w:rsid w:val="008C1151"/>
    <w:rsid w:val="008C7A63"/>
    <w:rsid w:val="008C7ECB"/>
    <w:rsid w:val="008D1C83"/>
    <w:rsid w:val="008D66A7"/>
    <w:rsid w:val="008D74BE"/>
    <w:rsid w:val="008E22AA"/>
    <w:rsid w:val="008E282E"/>
    <w:rsid w:val="008E653C"/>
    <w:rsid w:val="008F6EF6"/>
    <w:rsid w:val="00900206"/>
    <w:rsid w:val="0090091A"/>
    <w:rsid w:val="009042BD"/>
    <w:rsid w:val="0091559E"/>
    <w:rsid w:val="0091680D"/>
    <w:rsid w:val="009178BB"/>
    <w:rsid w:val="009224FB"/>
    <w:rsid w:val="00926224"/>
    <w:rsid w:val="00933D33"/>
    <w:rsid w:val="00936159"/>
    <w:rsid w:val="009371FC"/>
    <w:rsid w:val="0094351D"/>
    <w:rsid w:val="00945C53"/>
    <w:rsid w:val="00951AB9"/>
    <w:rsid w:val="00951DC8"/>
    <w:rsid w:val="00952D5C"/>
    <w:rsid w:val="009641F4"/>
    <w:rsid w:val="00967E3A"/>
    <w:rsid w:val="009723CB"/>
    <w:rsid w:val="0097248E"/>
    <w:rsid w:val="009728D4"/>
    <w:rsid w:val="009729DD"/>
    <w:rsid w:val="009739CE"/>
    <w:rsid w:val="00974877"/>
    <w:rsid w:val="00977E1D"/>
    <w:rsid w:val="00983244"/>
    <w:rsid w:val="009854FB"/>
    <w:rsid w:val="00985F65"/>
    <w:rsid w:val="00994910"/>
    <w:rsid w:val="0099752B"/>
    <w:rsid w:val="009A6C92"/>
    <w:rsid w:val="009B0573"/>
    <w:rsid w:val="009B4A4D"/>
    <w:rsid w:val="009B736A"/>
    <w:rsid w:val="009B7B4B"/>
    <w:rsid w:val="009B7C21"/>
    <w:rsid w:val="009C0992"/>
    <w:rsid w:val="009C39DE"/>
    <w:rsid w:val="009C3EF7"/>
    <w:rsid w:val="009C5181"/>
    <w:rsid w:val="009C51EE"/>
    <w:rsid w:val="009C6B03"/>
    <w:rsid w:val="009D06AC"/>
    <w:rsid w:val="009D1554"/>
    <w:rsid w:val="009E0497"/>
    <w:rsid w:val="009E47FD"/>
    <w:rsid w:val="009E6258"/>
    <w:rsid w:val="009F242B"/>
    <w:rsid w:val="009F5FE8"/>
    <w:rsid w:val="00A04992"/>
    <w:rsid w:val="00A05EB3"/>
    <w:rsid w:val="00A147AA"/>
    <w:rsid w:val="00A219E8"/>
    <w:rsid w:val="00A21D71"/>
    <w:rsid w:val="00A22B33"/>
    <w:rsid w:val="00A22B78"/>
    <w:rsid w:val="00A2533F"/>
    <w:rsid w:val="00A25AE5"/>
    <w:rsid w:val="00A34462"/>
    <w:rsid w:val="00A357ED"/>
    <w:rsid w:val="00A37002"/>
    <w:rsid w:val="00A42AF3"/>
    <w:rsid w:val="00A4355E"/>
    <w:rsid w:val="00A451A0"/>
    <w:rsid w:val="00A4624E"/>
    <w:rsid w:val="00A4715D"/>
    <w:rsid w:val="00A546B9"/>
    <w:rsid w:val="00A574B5"/>
    <w:rsid w:val="00A638E9"/>
    <w:rsid w:val="00A63980"/>
    <w:rsid w:val="00A718EC"/>
    <w:rsid w:val="00A71D8F"/>
    <w:rsid w:val="00A74329"/>
    <w:rsid w:val="00A752B9"/>
    <w:rsid w:val="00A7558C"/>
    <w:rsid w:val="00A8190E"/>
    <w:rsid w:val="00A8581E"/>
    <w:rsid w:val="00A91B5E"/>
    <w:rsid w:val="00A91F51"/>
    <w:rsid w:val="00A92BCD"/>
    <w:rsid w:val="00A9554A"/>
    <w:rsid w:val="00A95CFA"/>
    <w:rsid w:val="00AA1B0E"/>
    <w:rsid w:val="00AA2711"/>
    <w:rsid w:val="00AA2E97"/>
    <w:rsid w:val="00AA3520"/>
    <w:rsid w:val="00AA47B6"/>
    <w:rsid w:val="00AA5058"/>
    <w:rsid w:val="00AB24C8"/>
    <w:rsid w:val="00AB5133"/>
    <w:rsid w:val="00AB631A"/>
    <w:rsid w:val="00AC163B"/>
    <w:rsid w:val="00AC532E"/>
    <w:rsid w:val="00AC5CA7"/>
    <w:rsid w:val="00AC5D0B"/>
    <w:rsid w:val="00AC5FA8"/>
    <w:rsid w:val="00AC6058"/>
    <w:rsid w:val="00AD3175"/>
    <w:rsid w:val="00AD5D33"/>
    <w:rsid w:val="00AE2BA5"/>
    <w:rsid w:val="00AE56B1"/>
    <w:rsid w:val="00AE6D09"/>
    <w:rsid w:val="00AE7A93"/>
    <w:rsid w:val="00AF7A7C"/>
    <w:rsid w:val="00B0527B"/>
    <w:rsid w:val="00B10008"/>
    <w:rsid w:val="00B10114"/>
    <w:rsid w:val="00B11BCB"/>
    <w:rsid w:val="00B1398C"/>
    <w:rsid w:val="00B23387"/>
    <w:rsid w:val="00B24543"/>
    <w:rsid w:val="00B25DDC"/>
    <w:rsid w:val="00B2703B"/>
    <w:rsid w:val="00B3367A"/>
    <w:rsid w:val="00B34571"/>
    <w:rsid w:val="00B408B6"/>
    <w:rsid w:val="00B43426"/>
    <w:rsid w:val="00B45A72"/>
    <w:rsid w:val="00B45F0F"/>
    <w:rsid w:val="00B520C5"/>
    <w:rsid w:val="00B542DA"/>
    <w:rsid w:val="00B60EB6"/>
    <w:rsid w:val="00B62C0C"/>
    <w:rsid w:val="00B638EE"/>
    <w:rsid w:val="00B65EA5"/>
    <w:rsid w:val="00B73862"/>
    <w:rsid w:val="00B73F43"/>
    <w:rsid w:val="00B763A6"/>
    <w:rsid w:val="00B8153C"/>
    <w:rsid w:val="00B81946"/>
    <w:rsid w:val="00B81EC4"/>
    <w:rsid w:val="00B87B51"/>
    <w:rsid w:val="00B928BB"/>
    <w:rsid w:val="00B967B3"/>
    <w:rsid w:val="00B96A25"/>
    <w:rsid w:val="00BA029D"/>
    <w:rsid w:val="00BA4A1B"/>
    <w:rsid w:val="00BA6B66"/>
    <w:rsid w:val="00BA6E48"/>
    <w:rsid w:val="00BB2409"/>
    <w:rsid w:val="00BB4DA2"/>
    <w:rsid w:val="00BB6D9C"/>
    <w:rsid w:val="00BC3D3F"/>
    <w:rsid w:val="00BD5B99"/>
    <w:rsid w:val="00BD615B"/>
    <w:rsid w:val="00BE0AF6"/>
    <w:rsid w:val="00BE14C4"/>
    <w:rsid w:val="00BE1F03"/>
    <w:rsid w:val="00BE3CA8"/>
    <w:rsid w:val="00BE4636"/>
    <w:rsid w:val="00BE46FA"/>
    <w:rsid w:val="00BE58A7"/>
    <w:rsid w:val="00BF0187"/>
    <w:rsid w:val="00BF2218"/>
    <w:rsid w:val="00BF7CC7"/>
    <w:rsid w:val="00C0426B"/>
    <w:rsid w:val="00C045DF"/>
    <w:rsid w:val="00C04CE8"/>
    <w:rsid w:val="00C077A2"/>
    <w:rsid w:val="00C10141"/>
    <w:rsid w:val="00C12D71"/>
    <w:rsid w:val="00C1341E"/>
    <w:rsid w:val="00C14C37"/>
    <w:rsid w:val="00C17749"/>
    <w:rsid w:val="00C209C6"/>
    <w:rsid w:val="00C2127A"/>
    <w:rsid w:val="00C21D13"/>
    <w:rsid w:val="00C26D43"/>
    <w:rsid w:val="00C30FE0"/>
    <w:rsid w:val="00C46548"/>
    <w:rsid w:val="00C54C25"/>
    <w:rsid w:val="00C55BB7"/>
    <w:rsid w:val="00C574D5"/>
    <w:rsid w:val="00C625F6"/>
    <w:rsid w:val="00C62737"/>
    <w:rsid w:val="00C677A1"/>
    <w:rsid w:val="00C70EF6"/>
    <w:rsid w:val="00C73F32"/>
    <w:rsid w:val="00C87462"/>
    <w:rsid w:val="00C9112C"/>
    <w:rsid w:val="00C91FAE"/>
    <w:rsid w:val="00CA180C"/>
    <w:rsid w:val="00CA7493"/>
    <w:rsid w:val="00CB0653"/>
    <w:rsid w:val="00CB22B2"/>
    <w:rsid w:val="00CB38B2"/>
    <w:rsid w:val="00CB3B9E"/>
    <w:rsid w:val="00CC14B5"/>
    <w:rsid w:val="00CC29E2"/>
    <w:rsid w:val="00CC3751"/>
    <w:rsid w:val="00CC3EE2"/>
    <w:rsid w:val="00CC5FDB"/>
    <w:rsid w:val="00CD15AB"/>
    <w:rsid w:val="00CD2427"/>
    <w:rsid w:val="00CD2C4D"/>
    <w:rsid w:val="00CD3215"/>
    <w:rsid w:val="00CD7492"/>
    <w:rsid w:val="00CE3A6B"/>
    <w:rsid w:val="00CE7B5D"/>
    <w:rsid w:val="00CE7C39"/>
    <w:rsid w:val="00CF2E83"/>
    <w:rsid w:val="00CF5871"/>
    <w:rsid w:val="00CF7521"/>
    <w:rsid w:val="00D00211"/>
    <w:rsid w:val="00D01530"/>
    <w:rsid w:val="00D06309"/>
    <w:rsid w:val="00D11AE0"/>
    <w:rsid w:val="00D15E02"/>
    <w:rsid w:val="00D227B2"/>
    <w:rsid w:val="00D22948"/>
    <w:rsid w:val="00D2554C"/>
    <w:rsid w:val="00D30D13"/>
    <w:rsid w:val="00D3322E"/>
    <w:rsid w:val="00D351EA"/>
    <w:rsid w:val="00D40288"/>
    <w:rsid w:val="00D43403"/>
    <w:rsid w:val="00D4545E"/>
    <w:rsid w:val="00D50155"/>
    <w:rsid w:val="00D5270B"/>
    <w:rsid w:val="00D62E71"/>
    <w:rsid w:val="00D6430D"/>
    <w:rsid w:val="00D66188"/>
    <w:rsid w:val="00D67259"/>
    <w:rsid w:val="00D67607"/>
    <w:rsid w:val="00D704EE"/>
    <w:rsid w:val="00D731F6"/>
    <w:rsid w:val="00D740CA"/>
    <w:rsid w:val="00D7636C"/>
    <w:rsid w:val="00D77CCC"/>
    <w:rsid w:val="00D81567"/>
    <w:rsid w:val="00D84679"/>
    <w:rsid w:val="00D85728"/>
    <w:rsid w:val="00D866E6"/>
    <w:rsid w:val="00D9030F"/>
    <w:rsid w:val="00D9137D"/>
    <w:rsid w:val="00D95481"/>
    <w:rsid w:val="00D97699"/>
    <w:rsid w:val="00D976F4"/>
    <w:rsid w:val="00DA085B"/>
    <w:rsid w:val="00DA195E"/>
    <w:rsid w:val="00DA1A59"/>
    <w:rsid w:val="00DA2E92"/>
    <w:rsid w:val="00DA7BEF"/>
    <w:rsid w:val="00DB20A0"/>
    <w:rsid w:val="00DB2695"/>
    <w:rsid w:val="00DB6040"/>
    <w:rsid w:val="00DC2A1B"/>
    <w:rsid w:val="00DC3C66"/>
    <w:rsid w:val="00DC5C94"/>
    <w:rsid w:val="00DC681D"/>
    <w:rsid w:val="00DC7A13"/>
    <w:rsid w:val="00DD0CD8"/>
    <w:rsid w:val="00DD244F"/>
    <w:rsid w:val="00DD4D53"/>
    <w:rsid w:val="00DE0505"/>
    <w:rsid w:val="00DE2BE2"/>
    <w:rsid w:val="00DE6B58"/>
    <w:rsid w:val="00DE720D"/>
    <w:rsid w:val="00DF10E7"/>
    <w:rsid w:val="00DF2997"/>
    <w:rsid w:val="00DF299E"/>
    <w:rsid w:val="00DF5246"/>
    <w:rsid w:val="00E0016F"/>
    <w:rsid w:val="00E05A48"/>
    <w:rsid w:val="00E061AB"/>
    <w:rsid w:val="00E10BC4"/>
    <w:rsid w:val="00E1247A"/>
    <w:rsid w:val="00E13AF0"/>
    <w:rsid w:val="00E1415D"/>
    <w:rsid w:val="00E1577F"/>
    <w:rsid w:val="00E15B08"/>
    <w:rsid w:val="00E15F2D"/>
    <w:rsid w:val="00E323E9"/>
    <w:rsid w:val="00E333EC"/>
    <w:rsid w:val="00E33718"/>
    <w:rsid w:val="00E34018"/>
    <w:rsid w:val="00E342C4"/>
    <w:rsid w:val="00E437D2"/>
    <w:rsid w:val="00E44484"/>
    <w:rsid w:val="00E46EA1"/>
    <w:rsid w:val="00E53BD6"/>
    <w:rsid w:val="00E54BAF"/>
    <w:rsid w:val="00E55751"/>
    <w:rsid w:val="00E5683B"/>
    <w:rsid w:val="00E5759B"/>
    <w:rsid w:val="00E64DFD"/>
    <w:rsid w:val="00E65864"/>
    <w:rsid w:val="00E67BF6"/>
    <w:rsid w:val="00E843EE"/>
    <w:rsid w:val="00E8575E"/>
    <w:rsid w:val="00EA0588"/>
    <w:rsid w:val="00EA124B"/>
    <w:rsid w:val="00EA2311"/>
    <w:rsid w:val="00EA2F10"/>
    <w:rsid w:val="00EA3DE2"/>
    <w:rsid w:val="00EB0343"/>
    <w:rsid w:val="00EB34E1"/>
    <w:rsid w:val="00EB3DCF"/>
    <w:rsid w:val="00EC0843"/>
    <w:rsid w:val="00EC3533"/>
    <w:rsid w:val="00EC51E5"/>
    <w:rsid w:val="00EC7BC3"/>
    <w:rsid w:val="00ED2A01"/>
    <w:rsid w:val="00ED7038"/>
    <w:rsid w:val="00ED7600"/>
    <w:rsid w:val="00EE2A09"/>
    <w:rsid w:val="00EF3C5C"/>
    <w:rsid w:val="00EF4B3B"/>
    <w:rsid w:val="00EF6073"/>
    <w:rsid w:val="00EF6155"/>
    <w:rsid w:val="00EF698B"/>
    <w:rsid w:val="00F0060C"/>
    <w:rsid w:val="00F00A3A"/>
    <w:rsid w:val="00F11D0E"/>
    <w:rsid w:val="00F1339D"/>
    <w:rsid w:val="00F1362C"/>
    <w:rsid w:val="00F144F2"/>
    <w:rsid w:val="00F26AEF"/>
    <w:rsid w:val="00F33F35"/>
    <w:rsid w:val="00F3501F"/>
    <w:rsid w:val="00F40461"/>
    <w:rsid w:val="00F40FC1"/>
    <w:rsid w:val="00F414F1"/>
    <w:rsid w:val="00F44733"/>
    <w:rsid w:val="00F44F49"/>
    <w:rsid w:val="00F47FC6"/>
    <w:rsid w:val="00F508B8"/>
    <w:rsid w:val="00F5106A"/>
    <w:rsid w:val="00F530A4"/>
    <w:rsid w:val="00F548CD"/>
    <w:rsid w:val="00F62488"/>
    <w:rsid w:val="00F666A6"/>
    <w:rsid w:val="00F718CB"/>
    <w:rsid w:val="00F72CB1"/>
    <w:rsid w:val="00F74C30"/>
    <w:rsid w:val="00F7672D"/>
    <w:rsid w:val="00F809FB"/>
    <w:rsid w:val="00F8215E"/>
    <w:rsid w:val="00F824F5"/>
    <w:rsid w:val="00F85ADC"/>
    <w:rsid w:val="00F86A02"/>
    <w:rsid w:val="00F9081E"/>
    <w:rsid w:val="00F93258"/>
    <w:rsid w:val="00F9374D"/>
    <w:rsid w:val="00F93D4B"/>
    <w:rsid w:val="00FA1C9A"/>
    <w:rsid w:val="00FA4DF3"/>
    <w:rsid w:val="00FA7947"/>
    <w:rsid w:val="00FB2C52"/>
    <w:rsid w:val="00FB54FF"/>
    <w:rsid w:val="00FB62DB"/>
    <w:rsid w:val="00FC0137"/>
    <w:rsid w:val="00FC29B9"/>
    <w:rsid w:val="00FC3B85"/>
    <w:rsid w:val="00FC6FD3"/>
    <w:rsid w:val="00FD2098"/>
    <w:rsid w:val="00FD3C3B"/>
    <w:rsid w:val="00FD569C"/>
    <w:rsid w:val="00FD7F15"/>
    <w:rsid w:val="00FE0509"/>
    <w:rsid w:val="00FE305C"/>
    <w:rsid w:val="00FF0301"/>
    <w:rsid w:val="00FF06BF"/>
    <w:rsid w:val="00FF452C"/>
    <w:rsid w:val="00FF563F"/>
    <w:rsid w:val="00FF623A"/>
    <w:rsid w:val="00FF63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943"/>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14C90"/>
    <w:pPr>
      <w:tabs>
        <w:tab w:val="right" w:leader="dot" w:pos="9617"/>
      </w:tabs>
      <w:spacing w:after="100"/>
    </w:pPr>
  </w:style>
  <w:style w:type="paragraph" w:styleId="TOC5">
    <w:name w:val="toc 5"/>
    <w:aliases w:val="Proposal"/>
    <w:basedOn w:val="Normal"/>
    <w:next w:val="Normal"/>
    <w:autoRedefine/>
    <w:uiPriority w:val="39"/>
    <w:unhideWhenUsed/>
    <w:rsid w:val="00000989"/>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nhideWhenUsed/>
    <w:rsid w:val="00447140"/>
    <w:pPr>
      <w:tabs>
        <w:tab w:val="center" w:pos="4513"/>
        <w:tab w:val="right" w:pos="9026"/>
      </w:tabs>
      <w:spacing w:after="0" w:line="240" w:lineRule="auto"/>
    </w:pPr>
  </w:style>
  <w:style w:type="character" w:customStyle="1" w:styleId="HeaderChar">
    <w:name w:val="Header Char"/>
    <w:basedOn w:val="DefaultParagraphFont"/>
    <w:link w:val="Header"/>
    <w:rsid w:val="0014572F"/>
    <w:rPr>
      <w:rFonts w:ascii="Times New Roman" w:hAnsi="Times New Roman"/>
      <w:sz w:val="20"/>
    </w:rPr>
  </w:style>
  <w:style w:type="paragraph" w:styleId="Footer">
    <w:name w:val="footer"/>
    <w:basedOn w:val="Normal"/>
    <w:link w:val="FooterChar"/>
    <w:uiPriority w:val="99"/>
    <w:unhideWhenUsed/>
    <w:rsid w:val="004471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572F"/>
    <w:rPr>
      <w:rFonts w:ascii="Times New Roman" w:hAnsi="Times New Roman"/>
      <w:sz w:val="20"/>
    </w:rPr>
  </w:style>
  <w:style w:type="paragraph" w:styleId="NormalWeb">
    <w:name w:val="Normal (Web)"/>
    <w:basedOn w:val="Normal"/>
    <w:uiPriority w:val="99"/>
    <w:semiHidden/>
    <w:unhideWhenUsed/>
    <w:rsid w:val="00700A83"/>
    <w:pPr>
      <w:spacing w:before="100" w:beforeAutospacing="1" w:after="100" w:afterAutospacing="1" w:line="240" w:lineRule="auto"/>
      <w:jc w:val="left"/>
    </w:pPr>
    <w:rPr>
      <w:rFonts w:eastAsia="Times New Roman" w:cs="Times New Roman"/>
      <w:sz w:val="24"/>
      <w:szCs w:val="24"/>
    </w:rPr>
  </w:style>
  <w:style w:type="paragraph" w:styleId="Revision">
    <w:name w:val="Revision"/>
    <w:hidden/>
    <w:uiPriority w:val="99"/>
    <w:semiHidden/>
    <w:rsid w:val="00247387"/>
    <w:pPr>
      <w:spacing w:after="0" w:line="240" w:lineRule="auto"/>
    </w:pPr>
    <w:rPr>
      <w:rFonts w:ascii="Times New Roman" w:hAnsi="Times New Roman"/>
      <w:sz w:val="20"/>
    </w:rPr>
  </w:style>
  <w:style w:type="paragraph" w:customStyle="1" w:styleId="B1">
    <w:name w:val="B1"/>
    <w:basedOn w:val="List"/>
    <w:link w:val="B1Zchn"/>
    <w:qFormat/>
    <w:rsid w:val="00D67607"/>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ja-JP"/>
    </w:rPr>
  </w:style>
  <w:style w:type="character" w:customStyle="1" w:styleId="B1Zchn">
    <w:name w:val="B1 Zchn"/>
    <w:link w:val="B1"/>
    <w:qFormat/>
    <w:rsid w:val="00D6760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67607"/>
    <w:pPr>
      <w:ind w:left="283" w:hanging="283"/>
      <w:contextualSpacing/>
    </w:pPr>
  </w:style>
  <w:style w:type="paragraph" w:customStyle="1" w:styleId="B2">
    <w:name w:val="B2"/>
    <w:basedOn w:val="List2"/>
    <w:link w:val="B2Char"/>
    <w:qFormat/>
    <w:rsid w:val="00C9112C"/>
    <w:pPr>
      <w:spacing w:after="180" w:line="240" w:lineRule="auto"/>
      <w:ind w:left="851" w:hanging="284"/>
      <w:contextualSpacing w:val="0"/>
      <w:jc w:val="left"/>
    </w:pPr>
    <w:rPr>
      <w:rFonts w:eastAsia="SimSun" w:cs="Times New Roman"/>
      <w:szCs w:val="20"/>
      <w:lang w:val="en-GB"/>
    </w:rPr>
  </w:style>
  <w:style w:type="character" w:customStyle="1" w:styleId="B2Char">
    <w:name w:val="B2 Char"/>
    <w:link w:val="B2"/>
    <w:qFormat/>
    <w:rsid w:val="00C9112C"/>
    <w:rPr>
      <w:rFonts w:ascii="Times New Roman" w:eastAsia="SimSun" w:hAnsi="Times New Roman" w:cs="Times New Roman"/>
      <w:sz w:val="20"/>
      <w:szCs w:val="20"/>
      <w:lang w:val="en-GB"/>
    </w:rPr>
  </w:style>
  <w:style w:type="paragraph" w:styleId="List2">
    <w:name w:val="List 2"/>
    <w:basedOn w:val="Normal"/>
    <w:uiPriority w:val="99"/>
    <w:semiHidden/>
    <w:unhideWhenUsed/>
    <w:rsid w:val="00C9112C"/>
    <w:pPr>
      <w:ind w:left="566" w:hanging="283"/>
      <w:contextualSpacing/>
    </w:pPr>
  </w:style>
  <w:style w:type="character" w:customStyle="1" w:styleId="B1Char">
    <w:name w:val="B1 Char"/>
    <w:qFormat/>
    <w:locked/>
    <w:rsid w:val="00C9112C"/>
    <w:rPr>
      <w:rFonts w:ascii="Times New Roman" w:hAnsi="Times New Roman"/>
      <w:lang w:val="en-GB" w:eastAsia="en-US"/>
    </w:rPr>
  </w:style>
  <w:style w:type="character" w:customStyle="1" w:styleId="TACChar">
    <w:name w:val="TAC Char"/>
    <w:link w:val="TAC"/>
    <w:qFormat/>
    <w:locked/>
    <w:rsid w:val="00D227B2"/>
    <w:rPr>
      <w:rFonts w:ascii="Arial" w:eastAsia="Times New Roman" w:hAnsi="Arial" w:cs="Arial"/>
      <w:sz w:val="18"/>
      <w:lang w:eastAsia="en-GB"/>
    </w:rPr>
  </w:style>
  <w:style w:type="paragraph" w:customStyle="1" w:styleId="TAC">
    <w:name w:val="TAC"/>
    <w:basedOn w:val="Normal"/>
    <w:link w:val="TACChar"/>
    <w:rsid w:val="00D227B2"/>
    <w:pPr>
      <w:keepNext/>
      <w:keepLines/>
      <w:overflowPunct w:val="0"/>
      <w:autoSpaceDE w:val="0"/>
      <w:autoSpaceDN w:val="0"/>
      <w:adjustRightInd w:val="0"/>
      <w:spacing w:after="0" w:line="240" w:lineRule="auto"/>
      <w:jc w:val="center"/>
    </w:pPr>
    <w:rPr>
      <w:rFonts w:ascii="Arial" w:eastAsia="Times New Roman" w:hAnsi="Arial" w:cs="Arial"/>
      <w:sz w:val="18"/>
      <w:lang w:eastAsia="en-GB"/>
    </w:rPr>
  </w:style>
  <w:style w:type="character" w:customStyle="1" w:styleId="THChar">
    <w:name w:val="TH Char"/>
    <w:link w:val="TH"/>
    <w:qFormat/>
    <w:locked/>
    <w:rsid w:val="00D227B2"/>
    <w:rPr>
      <w:rFonts w:ascii="Arial" w:eastAsia="Times New Roman" w:hAnsi="Arial" w:cs="Arial"/>
      <w:b/>
      <w:lang w:eastAsia="en-GB"/>
    </w:rPr>
  </w:style>
  <w:style w:type="paragraph" w:customStyle="1" w:styleId="TH">
    <w:name w:val="TH"/>
    <w:basedOn w:val="Normal"/>
    <w:link w:val="THChar"/>
    <w:rsid w:val="00D227B2"/>
    <w:pPr>
      <w:keepNext/>
      <w:keepLines/>
      <w:overflowPunct w:val="0"/>
      <w:autoSpaceDE w:val="0"/>
      <w:autoSpaceDN w:val="0"/>
      <w:adjustRightInd w:val="0"/>
      <w:spacing w:before="60" w:after="180" w:line="240" w:lineRule="auto"/>
      <w:jc w:val="center"/>
    </w:pPr>
    <w:rPr>
      <w:rFonts w:ascii="Arial" w:eastAsia="Times New Roman" w:hAnsi="Arial" w:cs="Arial"/>
      <w:b/>
      <w:sz w:val="22"/>
      <w:lang w:eastAsia="en-GB"/>
    </w:rPr>
  </w:style>
  <w:style w:type="character" w:customStyle="1" w:styleId="TANChar">
    <w:name w:val="TAN Char"/>
    <w:link w:val="TAN"/>
    <w:qFormat/>
    <w:locked/>
    <w:rsid w:val="00D227B2"/>
    <w:rPr>
      <w:rFonts w:ascii="Arial" w:eastAsia="Times New Roman" w:hAnsi="Arial" w:cs="Arial"/>
      <w:sz w:val="18"/>
      <w:lang w:eastAsia="en-GB"/>
    </w:rPr>
  </w:style>
  <w:style w:type="paragraph" w:customStyle="1" w:styleId="TAN">
    <w:name w:val="TAN"/>
    <w:basedOn w:val="Normal"/>
    <w:link w:val="TANChar"/>
    <w:rsid w:val="00D227B2"/>
    <w:pPr>
      <w:keepNext/>
      <w:keepLines/>
      <w:overflowPunct w:val="0"/>
      <w:autoSpaceDE w:val="0"/>
      <w:autoSpaceDN w:val="0"/>
      <w:adjustRightInd w:val="0"/>
      <w:spacing w:after="0" w:line="240" w:lineRule="auto"/>
      <w:ind w:left="851" w:hanging="851"/>
      <w:jc w:val="left"/>
    </w:pPr>
    <w:rPr>
      <w:rFonts w:ascii="Arial" w:eastAsia="Times New Roman" w:hAnsi="Arial" w:cs="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1">
      <w:bodyDiv w:val="1"/>
      <w:marLeft w:val="0"/>
      <w:marRight w:val="0"/>
      <w:marTop w:val="0"/>
      <w:marBottom w:val="0"/>
      <w:divBdr>
        <w:top w:val="none" w:sz="0" w:space="0" w:color="auto"/>
        <w:left w:val="none" w:sz="0" w:space="0" w:color="auto"/>
        <w:bottom w:val="none" w:sz="0" w:space="0" w:color="auto"/>
        <w:right w:val="none" w:sz="0" w:space="0" w:color="auto"/>
      </w:divBdr>
    </w:div>
    <w:div w:id="201091834">
      <w:bodyDiv w:val="1"/>
      <w:marLeft w:val="0"/>
      <w:marRight w:val="0"/>
      <w:marTop w:val="0"/>
      <w:marBottom w:val="0"/>
      <w:divBdr>
        <w:top w:val="none" w:sz="0" w:space="0" w:color="auto"/>
        <w:left w:val="none" w:sz="0" w:space="0" w:color="auto"/>
        <w:bottom w:val="none" w:sz="0" w:space="0" w:color="auto"/>
        <w:right w:val="none" w:sz="0" w:space="0" w:color="auto"/>
      </w:divBdr>
    </w:div>
    <w:div w:id="326057592">
      <w:bodyDiv w:val="1"/>
      <w:marLeft w:val="0"/>
      <w:marRight w:val="0"/>
      <w:marTop w:val="0"/>
      <w:marBottom w:val="0"/>
      <w:divBdr>
        <w:top w:val="none" w:sz="0" w:space="0" w:color="auto"/>
        <w:left w:val="none" w:sz="0" w:space="0" w:color="auto"/>
        <w:bottom w:val="none" w:sz="0" w:space="0" w:color="auto"/>
        <w:right w:val="none" w:sz="0" w:space="0" w:color="auto"/>
      </w:divBdr>
    </w:div>
    <w:div w:id="660885615">
      <w:bodyDiv w:val="1"/>
      <w:marLeft w:val="0"/>
      <w:marRight w:val="0"/>
      <w:marTop w:val="0"/>
      <w:marBottom w:val="0"/>
      <w:divBdr>
        <w:top w:val="none" w:sz="0" w:space="0" w:color="auto"/>
        <w:left w:val="none" w:sz="0" w:space="0" w:color="auto"/>
        <w:bottom w:val="none" w:sz="0" w:space="0" w:color="auto"/>
        <w:right w:val="none" w:sz="0" w:space="0" w:color="auto"/>
      </w:divBdr>
      <w:divsChild>
        <w:div w:id="1340036770">
          <w:marLeft w:val="0"/>
          <w:marRight w:val="0"/>
          <w:marTop w:val="0"/>
          <w:marBottom w:val="0"/>
          <w:divBdr>
            <w:top w:val="none" w:sz="0" w:space="0" w:color="auto"/>
            <w:left w:val="none" w:sz="0" w:space="0" w:color="auto"/>
            <w:bottom w:val="none" w:sz="0" w:space="0" w:color="auto"/>
            <w:right w:val="none" w:sz="0" w:space="0" w:color="auto"/>
          </w:divBdr>
        </w:div>
      </w:divsChild>
    </w:div>
    <w:div w:id="726029097">
      <w:bodyDiv w:val="1"/>
      <w:marLeft w:val="0"/>
      <w:marRight w:val="0"/>
      <w:marTop w:val="0"/>
      <w:marBottom w:val="0"/>
      <w:divBdr>
        <w:top w:val="none" w:sz="0" w:space="0" w:color="auto"/>
        <w:left w:val="none" w:sz="0" w:space="0" w:color="auto"/>
        <w:bottom w:val="none" w:sz="0" w:space="0" w:color="auto"/>
        <w:right w:val="none" w:sz="0" w:space="0" w:color="auto"/>
      </w:divBdr>
      <w:divsChild>
        <w:div w:id="1432553030">
          <w:marLeft w:val="0"/>
          <w:marRight w:val="0"/>
          <w:marTop w:val="0"/>
          <w:marBottom w:val="0"/>
          <w:divBdr>
            <w:top w:val="none" w:sz="0" w:space="0" w:color="auto"/>
            <w:left w:val="none" w:sz="0" w:space="0" w:color="auto"/>
            <w:bottom w:val="none" w:sz="0" w:space="0" w:color="auto"/>
            <w:right w:val="none" w:sz="0" w:space="0" w:color="auto"/>
          </w:divBdr>
        </w:div>
      </w:divsChild>
    </w:div>
    <w:div w:id="768966108">
      <w:bodyDiv w:val="1"/>
      <w:marLeft w:val="0"/>
      <w:marRight w:val="0"/>
      <w:marTop w:val="0"/>
      <w:marBottom w:val="0"/>
      <w:divBdr>
        <w:top w:val="none" w:sz="0" w:space="0" w:color="auto"/>
        <w:left w:val="none" w:sz="0" w:space="0" w:color="auto"/>
        <w:bottom w:val="none" w:sz="0" w:space="0" w:color="auto"/>
        <w:right w:val="none" w:sz="0" w:space="0" w:color="auto"/>
      </w:divBdr>
      <w:divsChild>
        <w:div w:id="1965575798">
          <w:marLeft w:val="0"/>
          <w:marRight w:val="0"/>
          <w:marTop w:val="0"/>
          <w:marBottom w:val="0"/>
          <w:divBdr>
            <w:top w:val="none" w:sz="0" w:space="0" w:color="auto"/>
            <w:left w:val="none" w:sz="0" w:space="0" w:color="auto"/>
            <w:bottom w:val="none" w:sz="0" w:space="0" w:color="auto"/>
            <w:right w:val="none" w:sz="0" w:space="0" w:color="auto"/>
          </w:divBdr>
        </w:div>
      </w:divsChild>
    </w:div>
    <w:div w:id="826753221">
      <w:bodyDiv w:val="1"/>
      <w:marLeft w:val="0"/>
      <w:marRight w:val="0"/>
      <w:marTop w:val="0"/>
      <w:marBottom w:val="0"/>
      <w:divBdr>
        <w:top w:val="none" w:sz="0" w:space="0" w:color="auto"/>
        <w:left w:val="none" w:sz="0" w:space="0" w:color="auto"/>
        <w:bottom w:val="none" w:sz="0" w:space="0" w:color="auto"/>
        <w:right w:val="none" w:sz="0" w:space="0" w:color="auto"/>
      </w:divBdr>
    </w:div>
    <w:div w:id="890457422">
      <w:bodyDiv w:val="1"/>
      <w:marLeft w:val="0"/>
      <w:marRight w:val="0"/>
      <w:marTop w:val="0"/>
      <w:marBottom w:val="0"/>
      <w:divBdr>
        <w:top w:val="none" w:sz="0" w:space="0" w:color="auto"/>
        <w:left w:val="none" w:sz="0" w:space="0" w:color="auto"/>
        <w:bottom w:val="none" w:sz="0" w:space="0" w:color="auto"/>
        <w:right w:val="none" w:sz="0" w:space="0" w:color="auto"/>
      </w:divBdr>
    </w:div>
    <w:div w:id="1085299115">
      <w:bodyDiv w:val="1"/>
      <w:marLeft w:val="0"/>
      <w:marRight w:val="0"/>
      <w:marTop w:val="0"/>
      <w:marBottom w:val="0"/>
      <w:divBdr>
        <w:top w:val="none" w:sz="0" w:space="0" w:color="auto"/>
        <w:left w:val="none" w:sz="0" w:space="0" w:color="auto"/>
        <w:bottom w:val="none" w:sz="0" w:space="0" w:color="auto"/>
        <w:right w:val="none" w:sz="0" w:space="0" w:color="auto"/>
      </w:divBdr>
      <w:divsChild>
        <w:div w:id="183832225">
          <w:marLeft w:val="0"/>
          <w:marRight w:val="0"/>
          <w:marTop w:val="0"/>
          <w:marBottom w:val="0"/>
          <w:divBdr>
            <w:top w:val="none" w:sz="0" w:space="0" w:color="auto"/>
            <w:left w:val="none" w:sz="0" w:space="0" w:color="auto"/>
            <w:bottom w:val="none" w:sz="0" w:space="0" w:color="auto"/>
            <w:right w:val="none" w:sz="0" w:space="0" w:color="auto"/>
          </w:divBdr>
        </w:div>
      </w:divsChild>
    </w:div>
    <w:div w:id="1244754386">
      <w:bodyDiv w:val="1"/>
      <w:marLeft w:val="0"/>
      <w:marRight w:val="0"/>
      <w:marTop w:val="0"/>
      <w:marBottom w:val="0"/>
      <w:divBdr>
        <w:top w:val="none" w:sz="0" w:space="0" w:color="auto"/>
        <w:left w:val="none" w:sz="0" w:space="0" w:color="auto"/>
        <w:bottom w:val="none" w:sz="0" w:space="0" w:color="auto"/>
        <w:right w:val="none" w:sz="0" w:space="0" w:color="auto"/>
      </w:divBdr>
      <w:divsChild>
        <w:div w:id="56632518">
          <w:marLeft w:val="0"/>
          <w:marRight w:val="0"/>
          <w:marTop w:val="0"/>
          <w:marBottom w:val="0"/>
          <w:divBdr>
            <w:top w:val="none" w:sz="0" w:space="0" w:color="auto"/>
            <w:left w:val="none" w:sz="0" w:space="0" w:color="auto"/>
            <w:bottom w:val="none" w:sz="0" w:space="0" w:color="auto"/>
            <w:right w:val="none" w:sz="0" w:space="0" w:color="auto"/>
          </w:divBdr>
        </w:div>
      </w:divsChild>
    </w:div>
    <w:div w:id="1343970682">
      <w:bodyDiv w:val="1"/>
      <w:marLeft w:val="0"/>
      <w:marRight w:val="0"/>
      <w:marTop w:val="0"/>
      <w:marBottom w:val="0"/>
      <w:divBdr>
        <w:top w:val="none" w:sz="0" w:space="0" w:color="auto"/>
        <w:left w:val="none" w:sz="0" w:space="0" w:color="auto"/>
        <w:bottom w:val="none" w:sz="0" w:space="0" w:color="auto"/>
        <w:right w:val="none" w:sz="0" w:space="0" w:color="auto"/>
      </w:divBdr>
    </w:div>
    <w:div w:id="1486050368">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 w:id="1976446715">
      <w:bodyDiv w:val="1"/>
      <w:marLeft w:val="0"/>
      <w:marRight w:val="0"/>
      <w:marTop w:val="0"/>
      <w:marBottom w:val="0"/>
      <w:divBdr>
        <w:top w:val="none" w:sz="0" w:space="0" w:color="auto"/>
        <w:left w:val="none" w:sz="0" w:space="0" w:color="auto"/>
        <w:bottom w:val="none" w:sz="0" w:space="0" w:color="auto"/>
        <w:right w:val="none" w:sz="0" w:space="0" w:color="auto"/>
      </w:divBdr>
    </w:div>
    <w:div w:id="1996639514">
      <w:bodyDiv w:val="1"/>
      <w:marLeft w:val="0"/>
      <w:marRight w:val="0"/>
      <w:marTop w:val="0"/>
      <w:marBottom w:val="0"/>
      <w:divBdr>
        <w:top w:val="none" w:sz="0" w:space="0" w:color="auto"/>
        <w:left w:val="none" w:sz="0" w:space="0" w:color="auto"/>
        <w:bottom w:val="none" w:sz="0" w:space="0" w:color="auto"/>
        <w:right w:val="none" w:sz="0" w:space="0" w:color="auto"/>
      </w:divBdr>
    </w:div>
    <w:div w:id="209023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https://nokia.sharepoint.com/sites/c5g/5gradio/_layouts/15/DocIdRedir.aspx?ID=5AIRPNAIUNRU-1328258698-26375</Url>
      <Description>5AIRPNAIUNRU-1328258698-26375</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195794-22C9-4447-B6D4-68CDF45DDF03}">
  <ds:schemaRefs>
    <ds:schemaRef ds:uri="Microsoft.SharePoint.Taxonomy.ContentTypeSync"/>
  </ds:schemaRefs>
</ds:datastoreItem>
</file>

<file path=customXml/itemProps2.xml><?xml version="1.0" encoding="utf-8"?>
<ds:datastoreItem xmlns:ds="http://schemas.openxmlformats.org/officeDocument/2006/customXml" ds:itemID="{C687BCED-7F6B-4628-97B0-C398C27A71AF}">
  <ds:schemaRefs>
    <ds:schemaRef ds:uri="http://schemas.openxmlformats.org/officeDocument/2006/bibliography"/>
  </ds:schemaRefs>
</ds:datastoreItem>
</file>

<file path=customXml/itemProps3.xml><?xml version="1.0" encoding="utf-8"?>
<ds:datastoreItem xmlns:ds="http://schemas.openxmlformats.org/officeDocument/2006/customXml" ds:itemID="{C5ED3576-EF6D-4ACF-BCE7-0A9D63CBB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35E00-F33E-4704-8B7B-6B37ED13EA7C}">
  <ds:schemaRefs>
    <ds:schemaRef ds:uri="http://schemas.microsoft.com/sharepoint/v3/contenttype/forms"/>
  </ds:schemaRefs>
</ds:datastoreItem>
</file>

<file path=customXml/itemProps5.xml><?xml version="1.0" encoding="utf-8"?>
<ds:datastoreItem xmlns:ds="http://schemas.openxmlformats.org/officeDocument/2006/customXml" ds:itemID="{D349F102-2FC8-4876-8188-D74D9857661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DF2934E-53BB-4EF8-86E8-766CA5A5BD69}">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2023-09-27T12:15:00Z</dcterms:created>
  <dcterms:modified xsi:type="dcterms:W3CDTF">2023-09-27T18:15:00Z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c67c687d-5c88-40c3-9795-1972bba0320b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Order">
    <vt:r8>2267200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Documents/RAN4 107 Incheon/Rel-18/NR_FR2_multiRx_DL/Contributions/R4-2307130 On MultiRx RLM and BFD requirements.docx</vt:lpwstr>
  </property>
</Properties>
</file>